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5"/>
        <w:gridCol w:w="4519"/>
      </w:tblGrid>
      <w:tr w:rsidR="001C0B1B" w:rsidRPr="00B36214" w:rsidTr="00F93EB3">
        <w:tc>
          <w:tcPr>
            <w:tcW w:w="8644" w:type="dxa"/>
            <w:gridSpan w:val="2"/>
            <w:shd w:val="clear" w:color="auto" w:fill="FFFF00"/>
          </w:tcPr>
          <w:p w:rsidR="001C0B1B" w:rsidRPr="00ED77C3" w:rsidRDefault="00F93EB3" w:rsidP="00B3621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 w:rsidRPr="00F93EB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FICHA TÉCNICA</w:t>
            </w:r>
            <w:r w:rsidR="00BD781A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552572" cy="304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quaflex_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Produto</w:t>
            </w:r>
          </w:p>
        </w:tc>
        <w:tc>
          <w:tcPr>
            <w:tcW w:w="4519" w:type="dxa"/>
          </w:tcPr>
          <w:p w:rsidR="001C0B1B" w:rsidRPr="00E527D6" w:rsidRDefault="00A056DE" w:rsidP="00ED77C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ECOFLEX </w:t>
            </w:r>
            <w:r w:rsidR="00E7404C" w:rsidRPr="00E527D6">
              <w:rPr>
                <w:rFonts w:asciiTheme="majorHAnsi" w:hAnsiTheme="majorHAnsi"/>
                <w:b/>
              </w:rPr>
              <w:t xml:space="preserve">ACRÍLICO </w:t>
            </w:r>
            <w:r w:rsidR="00D81A49">
              <w:rPr>
                <w:rFonts w:asciiTheme="majorHAnsi" w:hAnsiTheme="majorHAnsi"/>
                <w:b/>
              </w:rPr>
              <w:t>ECONÔ</w:t>
            </w:r>
            <w:r w:rsidR="0034787C">
              <w:rPr>
                <w:rFonts w:asciiTheme="majorHAnsi" w:hAnsiTheme="majorHAnsi"/>
                <w:b/>
              </w:rPr>
              <w:t>MICO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Classificação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</w:t>
            </w:r>
            <w:r w:rsidR="006F1942">
              <w:rPr>
                <w:rFonts w:asciiTheme="majorHAnsi" w:hAnsiTheme="majorHAnsi"/>
              </w:rPr>
              <w:t>orma ABNT NBR 11702</w:t>
            </w:r>
            <w:r w:rsidR="001B4C1A">
              <w:rPr>
                <w:rFonts w:asciiTheme="majorHAnsi" w:hAnsiTheme="majorHAnsi"/>
              </w:rPr>
              <w:t xml:space="preserve"> de 07/2010 tipo 4.5.2</w:t>
            </w:r>
            <w:r w:rsidR="006F1942">
              <w:rPr>
                <w:rFonts w:asciiTheme="majorHAnsi" w:hAnsiTheme="majorHAnsi"/>
              </w:rPr>
              <w:t xml:space="preserve"> e </w:t>
            </w:r>
            <w:r w:rsidR="001B4C1A">
              <w:rPr>
                <w:rFonts w:asciiTheme="majorHAnsi" w:hAnsiTheme="majorHAnsi"/>
              </w:rPr>
              <w:t xml:space="preserve">atende a </w:t>
            </w:r>
            <w:r w:rsidR="006F1942">
              <w:rPr>
                <w:rFonts w:asciiTheme="majorHAnsi" w:hAnsiTheme="majorHAnsi"/>
              </w:rPr>
              <w:t>NBR 15079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Descrição</w:t>
            </w:r>
          </w:p>
        </w:tc>
        <w:tc>
          <w:tcPr>
            <w:tcW w:w="4519" w:type="dxa"/>
          </w:tcPr>
          <w:p w:rsidR="001C0B1B" w:rsidRPr="00B36214" w:rsidRDefault="00F93EB3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Látex </w:t>
            </w:r>
            <w:r w:rsidR="0034787C">
              <w:rPr>
                <w:rFonts w:asciiTheme="majorHAnsi" w:hAnsiTheme="majorHAnsi"/>
              </w:rPr>
              <w:t>Acrílico Econômico</w:t>
            </w:r>
            <w:r w:rsidR="001C0B1B" w:rsidRPr="00B36214">
              <w:rPr>
                <w:rFonts w:asciiTheme="majorHAnsi" w:hAnsiTheme="majorHAnsi"/>
              </w:rPr>
              <w:t xml:space="preserve"> é um produto de fácil aplicação com ótimo rendimento e boa </w:t>
            </w:r>
          </w:p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cobertura</w:t>
            </w:r>
            <w:proofErr w:type="gramEnd"/>
            <w:r w:rsidRPr="00B36214">
              <w:rPr>
                <w:rFonts w:asciiTheme="majorHAnsi" w:hAnsiTheme="majorHAnsi"/>
              </w:rPr>
              <w:t>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Indicação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Indicado para pintura de superfícies internas de reboco, massa acrílica, texturas, concreto, </w:t>
            </w:r>
          </w:p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fibrocimento</w:t>
            </w:r>
            <w:proofErr w:type="gramEnd"/>
            <w:r w:rsidRPr="00B36214">
              <w:rPr>
                <w:rFonts w:asciiTheme="majorHAnsi" w:hAnsiTheme="majorHAnsi"/>
              </w:rPr>
              <w:t xml:space="preserve"> e superfícies internas de massa corrida e gesso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Diferenciais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Fácil aplicação, ótimo rendimento e </w:t>
            </w:r>
            <w:r w:rsidR="00ED77C3">
              <w:rPr>
                <w:rFonts w:asciiTheme="majorHAnsi" w:hAnsiTheme="majorHAnsi"/>
              </w:rPr>
              <w:t>c</w:t>
            </w:r>
            <w:r w:rsidRPr="00B36214">
              <w:rPr>
                <w:rFonts w:asciiTheme="majorHAnsi" w:hAnsiTheme="majorHAnsi"/>
              </w:rPr>
              <w:t>obertura.</w:t>
            </w:r>
          </w:p>
        </w:tc>
      </w:tr>
      <w:tr w:rsidR="001C0B1B" w:rsidRPr="00B36214" w:rsidTr="00F93EB3">
        <w:tc>
          <w:tcPr>
            <w:tcW w:w="8644" w:type="dxa"/>
            <w:gridSpan w:val="2"/>
            <w:shd w:val="clear" w:color="auto" w:fill="FFFF00"/>
          </w:tcPr>
          <w:p w:rsidR="001C0B1B" w:rsidRPr="00ED77C3" w:rsidRDefault="001C0B1B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gramStart"/>
            <w:r w:rsidRPr="00F93EB3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Intempéries (Sol, Chuva, </w:t>
            </w:r>
            <w:proofErr w:type="spellStart"/>
            <w:r w:rsidRPr="00B36214">
              <w:rPr>
                <w:rFonts w:asciiTheme="majorHAnsi" w:hAnsiTheme="majorHAnsi"/>
              </w:rPr>
              <w:t>etc</w:t>
            </w:r>
            <w:proofErr w:type="spellEnd"/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C0B1B" w:rsidRPr="00B36214" w:rsidRDefault="00D81A49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Não r</w:t>
            </w:r>
            <w:r w:rsidR="001C0B1B" w:rsidRPr="00B36214">
              <w:rPr>
                <w:rFonts w:asciiTheme="majorHAnsi" w:hAnsiTheme="majorHAnsi"/>
              </w:rPr>
              <w:t>esistente às intempéries.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Temperatura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 variação de temperatura e condições meteorológicas Brasileiras.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Umidade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em ambientes com temperatura abaixo de 10ºC e/ou umidade relativa maior que 90%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Sais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sobre reboco com menos de 28 dias de cura.</w:t>
            </w:r>
          </w:p>
        </w:tc>
      </w:tr>
      <w:tr w:rsidR="00B36214" w:rsidRPr="00B36214" w:rsidTr="00F93EB3">
        <w:tc>
          <w:tcPr>
            <w:tcW w:w="8644" w:type="dxa"/>
            <w:gridSpan w:val="2"/>
            <w:shd w:val="clear" w:color="auto" w:fill="FFFF00"/>
          </w:tcPr>
          <w:p w:rsidR="00B36214" w:rsidRPr="00ED77C3" w:rsidRDefault="00B36214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3EB3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Composição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Resina à base de dispersão aquosa de polímero acrílico, pigmentos isentos de metais pesados, cargas minerais inertes, glicóis e </w:t>
            </w:r>
            <w:proofErr w:type="spellStart"/>
            <w:r w:rsidRPr="00B36214">
              <w:rPr>
                <w:rFonts w:asciiTheme="majorHAnsi" w:hAnsiTheme="majorHAnsi"/>
              </w:rPr>
              <w:t>tensoativosetoxilados</w:t>
            </w:r>
            <w:proofErr w:type="spellEnd"/>
            <w:r w:rsidRPr="00B36214">
              <w:rPr>
                <w:rFonts w:asciiTheme="majorHAnsi" w:hAnsiTheme="majorHAnsi"/>
              </w:rPr>
              <w:t xml:space="preserve"> e </w:t>
            </w:r>
            <w:proofErr w:type="spellStart"/>
            <w:r w:rsidRPr="00B36214">
              <w:rPr>
                <w:rFonts w:asciiTheme="majorHAnsi" w:hAnsiTheme="majorHAnsi"/>
              </w:rPr>
              <w:t>carboxilados</w:t>
            </w:r>
            <w:proofErr w:type="spellEnd"/>
            <w:r w:rsidR="00ED77C3">
              <w:rPr>
                <w:rFonts w:asciiTheme="majorHAnsi" w:hAnsiTheme="majorHAnsi"/>
              </w:rPr>
              <w:t>.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Embalagens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18L</w:t>
            </w:r>
            <w:proofErr w:type="gramEnd"/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Toxicidade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Consultar FISPQ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VOC** – Compostos Orgânicos Voláteis (% dos compostos que evaporam com exceção da água)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29 </w:t>
            </w:r>
            <w:proofErr w:type="gramStart"/>
            <w:r w:rsidRPr="00B36214">
              <w:rPr>
                <w:rFonts w:asciiTheme="majorHAnsi" w:hAnsiTheme="majorHAnsi"/>
              </w:rPr>
              <w:t>g/L</w:t>
            </w:r>
            <w:proofErr w:type="gramEnd"/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Sólidos/Peso (parte que permanece no filme seco, quanto maior o valor, maior será a camada seca</w:t>
            </w:r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37,10 – 39,10 %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Densidade (peso específico, quanto maior o valor mais pesado/denso será o produto</w:t>
            </w:r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27409" w:rsidRPr="00B36214" w:rsidRDefault="0034787C" w:rsidP="0034787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1,35 - 1,50</w:t>
            </w:r>
            <w:r w:rsidR="00127409" w:rsidRPr="00B36214">
              <w:rPr>
                <w:rFonts w:asciiTheme="majorHAnsi" w:hAnsiTheme="majorHAnsi"/>
              </w:rPr>
              <w:t xml:space="preserve"> g/cm3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pH</w:t>
            </w:r>
            <w:proofErr w:type="gramEnd"/>
            <w:r w:rsidRPr="00B36214">
              <w:rPr>
                <w:rFonts w:asciiTheme="majorHAnsi" w:hAnsiTheme="majorHAnsi"/>
              </w:rPr>
              <w:t xml:space="preserve"> - valores maiores que 7 (alcalinos), menores que 7 (ácidos) e iguais a 7 (neutros)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8,5 – </w:t>
            </w:r>
            <w:r w:rsidR="0034787C">
              <w:rPr>
                <w:rFonts w:asciiTheme="majorHAnsi" w:hAnsiTheme="majorHAnsi"/>
              </w:rPr>
              <w:t>9,5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Brilho (acabamento)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Fosco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Prazo de Validade (embalagem fechada e sem uso)</w:t>
            </w:r>
          </w:p>
        </w:tc>
        <w:tc>
          <w:tcPr>
            <w:tcW w:w="4519" w:type="dxa"/>
          </w:tcPr>
          <w:p w:rsidR="00127409" w:rsidRPr="00B36214" w:rsidRDefault="00ED77C3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127409" w:rsidRPr="00B36214">
              <w:rPr>
                <w:rFonts w:asciiTheme="majorHAnsi" w:hAnsiTheme="majorHAnsi"/>
              </w:rPr>
              <w:t xml:space="preserve"> meses</w:t>
            </w:r>
          </w:p>
        </w:tc>
      </w:tr>
      <w:tr w:rsidR="00127409" w:rsidRPr="00B36214" w:rsidTr="00F93EB3">
        <w:tc>
          <w:tcPr>
            <w:tcW w:w="8644" w:type="dxa"/>
            <w:gridSpan w:val="2"/>
            <w:shd w:val="clear" w:color="auto" w:fill="FFFF00"/>
          </w:tcPr>
          <w:p w:rsidR="00127409" w:rsidRPr="00661790" w:rsidRDefault="00127409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3EB3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lastRenderedPageBreak/>
              <w:t>CONDIÇÕES DE ASSEGURIDADE</w:t>
            </w:r>
          </w:p>
        </w:tc>
      </w:tr>
      <w:tr w:rsidR="00127409" w:rsidRPr="00B36214" w:rsidTr="00CC0541">
        <w:tc>
          <w:tcPr>
            <w:tcW w:w="8644" w:type="dxa"/>
            <w:gridSpan w:val="2"/>
          </w:tcPr>
          <w:p w:rsidR="00127409" w:rsidRPr="00B36214" w:rsidRDefault="00127409" w:rsidP="00ED77C3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B4211C" w:rsidRPr="00B36214" w:rsidRDefault="00B4211C" w:rsidP="001C0B1B">
      <w:pPr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250"/>
        <w:gridCol w:w="2072"/>
      </w:tblGrid>
      <w:tr w:rsidR="00127409" w:rsidRPr="00B36214" w:rsidTr="00F93EB3">
        <w:tc>
          <w:tcPr>
            <w:tcW w:w="8644" w:type="dxa"/>
            <w:gridSpan w:val="3"/>
            <w:shd w:val="clear" w:color="auto" w:fill="FFFF00"/>
          </w:tcPr>
          <w:p w:rsidR="00127409" w:rsidRPr="00661790" w:rsidRDefault="00127409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3EB3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Superfícies novas de reboco de</w:t>
            </w:r>
            <w:r w:rsidR="00B36214">
              <w:rPr>
                <w:rFonts w:asciiTheme="majorHAnsi" w:hAnsiTheme="majorHAnsi"/>
              </w:rPr>
              <w:t>vem receber aplicação de</w:t>
            </w:r>
            <w:r w:rsidRPr="00B36214">
              <w:rPr>
                <w:rFonts w:asciiTheme="majorHAnsi" w:hAnsiTheme="majorHAnsi"/>
              </w:rPr>
              <w:t xml:space="preserve"> </w:t>
            </w:r>
            <w:r w:rsidR="00577C85">
              <w:rPr>
                <w:rFonts w:asciiTheme="majorHAnsi" w:hAnsiTheme="majorHAnsi"/>
              </w:rPr>
              <w:t xml:space="preserve">Fundo Preparador </w:t>
            </w:r>
            <w:proofErr w:type="spellStart"/>
            <w:proofErr w:type="gramStart"/>
            <w:r w:rsidR="00577C85">
              <w:rPr>
                <w:rFonts w:asciiTheme="majorHAnsi" w:hAnsiTheme="majorHAnsi"/>
              </w:rPr>
              <w:t>e</w:t>
            </w:r>
            <w:r w:rsidRPr="00B36214">
              <w:rPr>
                <w:rFonts w:asciiTheme="majorHAnsi" w:hAnsiTheme="majorHAnsi"/>
              </w:rPr>
              <w:t>Selador</w:t>
            </w:r>
            <w:proofErr w:type="spellEnd"/>
            <w:proofErr w:type="gramEnd"/>
            <w:r w:rsidRPr="00B36214">
              <w:rPr>
                <w:rFonts w:asciiTheme="majorHAnsi" w:hAnsiTheme="majorHAnsi"/>
              </w:rPr>
              <w:t xml:space="preserve"> Acrílico, a fim de</w:t>
            </w:r>
            <w:r w:rsidR="00577C85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>uniformizar a absorção, reduzindo o consumo de tinta e melhorando a aparência e resistência do acabamento. No caso de aplicação sobre superfícies “fracas” – reboco fraco, caiação, pintura qu</w:t>
            </w:r>
            <w:r w:rsidR="00B36214">
              <w:rPr>
                <w:rFonts w:asciiTheme="majorHAnsi" w:hAnsiTheme="majorHAnsi"/>
              </w:rPr>
              <w:t>eimada pelo sol, aplicar</w:t>
            </w:r>
            <w:r w:rsidRPr="00B36214">
              <w:rPr>
                <w:rFonts w:asciiTheme="majorHAnsi" w:hAnsiTheme="majorHAnsi"/>
              </w:rPr>
              <w:t xml:space="preserve"> Fundo Preparador, para torná-las firmes. Sempre que desejado ou necessário nivelar</w:t>
            </w:r>
            <w:r w:rsidR="00B36214">
              <w:rPr>
                <w:rFonts w:asciiTheme="majorHAnsi" w:hAnsiTheme="majorHAnsi"/>
              </w:rPr>
              <w:t xml:space="preserve"> a superfície, utilizar</w:t>
            </w:r>
            <w:r w:rsidRPr="00B36214">
              <w:rPr>
                <w:rFonts w:asciiTheme="majorHAnsi" w:hAnsiTheme="majorHAnsi"/>
              </w:rPr>
              <w:t xml:space="preserve"> Massa Corrida (interior). Lembrando que a superfície deve estar firme, coesa, limpa, seca, sem poeira, gordura, graxa, sabão ou mofo antes de qualquer aplicação.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Diluente</w:t>
            </w:r>
          </w:p>
        </w:tc>
        <w:tc>
          <w:tcPr>
            <w:tcW w:w="4322" w:type="dxa"/>
            <w:gridSpan w:val="2"/>
          </w:tcPr>
          <w:p w:rsidR="00127409" w:rsidRPr="00B36214" w:rsidRDefault="00A056DE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Ponto para Uso</w:t>
            </w:r>
          </w:p>
        </w:tc>
      </w:tr>
      <w:tr w:rsidR="00127409" w:rsidRPr="00B36214" w:rsidTr="00127409">
        <w:tc>
          <w:tcPr>
            <w:tcW w:w="4322" w:type="dxa"/>
            <w:vMerge w:val="restart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Diluição</w:t>
            </w:r>
          </w:p>
        </w:tc>
        <w:tc>
          <w:tcPr>
            <w:tcW w:w="2250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Massa corrida, massa acrílica, texturas, </w:t>
            </w:r>
          </w:p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fibrocimento</w:t>
            </w:r>
            <w:proofErr w:type="gramEnd"/>
            <w:r w:rsidRPr="00B36214">
              <w:rPr>
                <w:rFonts w:asciiTheme="majorHAnsi" w:hAnsiTheme="majorHAnsi"/>
              </w:rPr>
              <w:t>, reboco, gesso ou concreto.</w:t>
            </w:r>
          </w:p>
        </w:tc>
        <w:tc>
          <w:tcPr>
            <w:tcW w:w="2072" w:type="dxa"/>
          </w:tcPr>
          <w:p w:rsidR="00127409" w:rsidRPr="00B36214" w:rsidRDefault="00D81A49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Pronta para uso</w:t>
            </w:r>
          </w:p>
        </w:tc>
      </w:tr>
      <w:tr w:rsidR="00127409" w:rsidRPr="00B36214" w:rsidTr="00127409">
        <w:tc>
          <w:tcPr>
            <w:tcW w:w="4322" w:type="dxa"/>
            <w:vMerge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</w:t>
            </w:r>
          </w:p>
        </w:tc>
        <w:tc>
          <w:tcPr>
            <w:tcW w:w="2072" w:type="dxa"/>
          </w:tcPr>
          <w:p w:rsidR="00127409" w:rsidRPr="00B36214" w:rsidRDefault="00D81A49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Pronta para uso</w:t>
            </w:r>
          </w:p>
        </w:tc>
      </w:tr>
      <w:tr w:rsidR="00B346D5" w:rsidRPr="00B36214" w:rsidTr="00127409">
        <w:tc>
          <w:tcPr>
            <w:tcW w:w="4322" w:type="dxa"/>
            <w:vMerge w:val="restart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Rendimento</w:t>
            </w:r>
          </w:p>
        </w:tc>
        <w:tc>
          <w:tcPr>
            <w:tcW w:w="2250" w:type="dxa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Massa corrida, massa acrílica, texturas,</w:t>
            </w:r>
          </w:p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fibrocimento</w:t>
            </w:r>
            <w:proofErr w:type="gramEnd"/>
            <w:r w:rsidRPr="00B36214">
              <w:rPr>
                <w:rFonts w:asciiTheme="majorHAnsi" w:hAnsiTheme="majorHAnsi"/>
              </w:rPr>
              <w:t>, reboco, gesso ou concreto.</w:t>
            </w:r>
          </w:p>
        </w:tc>
        <w:tc>
          <w:tcPr>
            <w:tcW w:w="2072" w:type="dxa"/>
          </w:tcPr>
          <w:p w:rsidR="00B346D5" w:rsidRPr="00B36214" w:rsidRDefault="00B36214" w:rsidP="001274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a 45 m²/</w:t>
            </w:r>
            <w:r w:rsidR="00B346D5" w:rsidRPr="00B36214">
              <w:rPr>
                <w:rFonts w:asciiTheme="majorHAnsi" w:hAnsiTheme="majorHAnsi"/>
              </w:rPr>
              <w:t>galão/demão</w:t>
            </w:r>
          </w:p>
        </w:tc>
      </w:tr>
      <w:tr w:rsidR="00B346D5" w:rsidRPr="00B36214" w:rsidTr="00127409">
        <w:tc>
          <w:tcPr>
            <w:tcW w:w="4322" w:type="dxa"/>
            <w:vMerge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</w:t>
            </w:r>
          </w:p>
        </w:tc>
        <w:tc>
          <w:tcPr>
            <w:tcW w:w="2072" w:type="dxa"/>
          </w:tcPr>
          <w:p w:rsidR="00B346D5" w:rsidRPr="00B36214" w:rsidRDefault="00B346D5" w:rsidP="00B36214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40 a 48 m</w:t>
            </w:r>
            <w:r w:rsidR="00B36214">
              <w:rPr>
                <w:rFonts w:asciiTheme="majorHAnsi" w:hAnsiTheme="majorHAnsi"/>
              </w:rPr>
              <w:t>²/</w:t>
            </w:r>
            <w:r w:rsidRPr="00B36214">
              <w:rPr>
                <w:rFonts w:asciiTheme="majorHAnsi" w:hAnsiTheme="majorHAnsi"/>
              </w:rPr>
              <w:t>galão/demão</w:t>
            </w:r>
          </w:p>
        </w:tc>
      </w:tr>
      <w:tr w:rsidR="00B346D5" w:rsidRPr="00B36214" w:rsidTr="00A31E70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Duas a três demãos com intervalo mínimo de 4 horas.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Instrumentos de Pintura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Rolo de lã, pincel ou trincha e pistola.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Secagem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1 hora ao toque/ 12 horas final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Lavar com água e detergente neutro esfregando suavemente com pano/esponja macia</w:t>
            </w:r>
          </w:p>
        </w:tc>
      </w:tr>
      <w:tr w:rsidR="00B346D5" w:rsidRPr="00B36214" w:rsidTr="00F93EB3">
        <w:tc>
          <w:tcPr>
            <w:tcW w:w="8644" w:type="dxa"/>
            <w:gridSpan w:val="3"/>
            <w:shd w:val="clear" w:color="auto" w:fill="FFFF00"/>
          </w:tcPr>
          <w:p w:rsidR="00B346D5" w:rsidRPr="00661790" w:rsidRDefault="00B346D5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3EB3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423281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1 - Escolha correta dos produtos e uso completo do sistema de pintura 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2 - Preparação e tratamento da superfície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3 - Preparação e aplicação dos produtos conforme indicação da embalagem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4 - Condições climáticas adequadas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lastRenderedPageBreak/>
              <w:t>5 - Escolha</w:t>
            </w:r>
            <w:proofErr w:type="gramEnd"/>
            <w:r w:rsidRPr="00B36214">
              <w:rPr>
                <w:rFonts w:asciiTheme="majorHAnsi" w:hAnsiTheme="majorHAnsi"/>
              </w:rPr>
              <w:t xml:space="preserve"> correta dos instrumentos de pintura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OBSERVAÇÕES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6214" w:rsidRPr="00ED77C3" w:rsidRDefault="00B346D5" w:rsidP="00ED77C3">
            <w:pPr>
              <w:pStyle w:val="PargrafodaLista"/>
              <w:numPr>
                <w:ilvl w:val="0"/>
                <w:numId w:val="3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 xml:space="preserve">Na preparação das superfícies, partes soltas ou mal aderidas, devem ser eliminadas, raspando, lixando ou escovando a </w:t>
            </w:r>
            <w:r w:rsidR="00B36214" w:rsidRPr="00ED77C3">
              <w:rPr>
                <w:rFonts w:asciiTheme="majorHAnsi" w:hAnsiTheme="majorHAnsi"/>
              </w:rPr>
              <w:t>superfície.</w:t>
            </w:r>
          </w:p>
          <w:p w:rsidR="00B346D5" w:rsidRPr="00ED77C3" w:rsidRDefault="00B36214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Ma</w:t>
            </w:r>
            <w:r w:rsidR="00B346D5" w:rsidRPr="00ED77C3">
              <w:rPr>
                <w:rFonts w:asciiTheme="majorHAnsi" w:hAnsiTheme="majorHAnsi"/>
              </w:rPr>
              <w:t>nchas de gordura ou graxa devem ser eliminadas com solução de água e detergente. Em seguida, enxaguar e aguardar a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Partes mofadas devem ser eliminadas, lavando a superfície com água sanitária. Em seguida, enxaguar e aguardar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Imperfeições profundas do reboco/cimentado devem ser corrigidas com argamassa de cimento: areia média, traço 1:3 (aguardar cura por 28 dias</w:t>
            </w:r>
            <w:proofErr w:type="gramStart"/>
            <w:r w:rsidRPr="00ED77C3">
              <w:rPr>
                <w:rFonts w:asciiTheme="majorHAnsi" w:hAnsiTheme="majorHAnsi"/>
              </w:rPr>
              <w:t>)</w:t>
            </w:r>
            <w:proofErr w:type="gramEnd"/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Reboco novo aguardar a secagem e cura (28 dias no mínimo).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 Fundo Preparador de Paredes, diluído com 10% de água limpa.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As imperfeições rasas da superfície devem ser corrigidas com: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Corrida (reboco interno)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Acrílica (reboco externo e interno)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Repintura: Eliminar qualquer espécie de brilho,</w:t>
            </w:r>
            <w:r w:rsidR="00ED77C3">
              <w:rPr>
                <w:rFonts w:asciiTheme="majorHAnsi" w:hAnsiTheme="majorHAnsi"/>
              </w:rPr>
              <w:t xml:space="preserve"> usando lixa de grana 360/400 e e</w:t>
            </w:r>
            <w:r w:rsidRPr="00B36214">
              <w:rPr>
                <w:rFonts w:asciiTheme="majorHAnsi" w:hAnsiTheme="majorHAnsi"/>
              </w:rPr>
              <w:t>liminar o pó.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É característica de alguns produtos </w:t>
            </w:r>
            <w:proofErr w:type="gramStart"/>
            <w:r w:rsidRPr="00B36214">
              <w:rPr>
                <w:rFonts w:asciiTheme="majorHAnsi" w:hAnsiTheme="majorHAnsi"/>
              </w:rPr>
              <w:t>apresentar</w:t>
            </w:r>
            <w:proofErr w:type="gramEnd"/>
            <w:r w:rsidRPr="00B36214">
              <w:rPr>
                <w:rFonts w:asciiTheme="majorHAnsi" w:hAnsiTheme="majorHAnsi"/>
              </w:rPr>
              <w:t xml:space="preserve"> ligeiro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Pr="00B36214">
              <w:rPr>
                <w:rFonts w:asciiTheme="majorHAnsi" w:hAnsiTheme="majorHAnsi"/>
              </w:rPr>
              <w:t xml:space="preserve"> (cores escuras) quando expostos ao contato com água (sereno ou chuvas leves), essas ocorrências geralmente aparecem no período de cura do filme da tinta. Para a solução do problema, recomendamos lavar toda a superfície com água tão logo tenha ocorrido 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="00ED77C3">
              <w:rPr>
                <w:rFonts w:asciiTheme="majorHAnsi" w:hAnsiTheme="majorHAnsi"/>
              </w:rPr>
              <w:t>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 w:rsidRPr="00B36214">
              <w:rPr>
                <w:rFonts w:asciiTheme="majorHAnsi" w:hAnsiTheme="majorHAnsi"/>
              </w:rPr>
              <w:t>a</w:t>
            </w:r>
            <w:proofErr w:type="gramEnd"/>
            <w:r w:rsidRPr="00B36214">
              <w:rPr>
                <w:rFonts w:asciiTheme="majorHAnsi" w:hAnsiTheme="majorHAnsi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Em casos excepcionais, onde seja </w:t>
            </w:r>
            <w:proofErr w:type="gramStart"/>
            <w:r w:rsidRPr="00B36214">
              <w:rPr>
                <w:rFonts w:asciiTheme="majorHAnsi" w:hAnsiTheme="majorHAnsi"/>
              </w:rPr>
              <w:t>necessário</w:t>
            </w:r>
            <w:proofErr w:type="gramEnd"/>
            <w:r w:rsidRPr="00B36214">
              <w:rPr>
                <w:rFonts w:asciiTheme="majorHAnsi" w:hAnsiTheme="majorHAnsi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Manter a embalagem fechada, fora do alcance de crianças e animais; Não reutilizar a embalagem; Armazenar em local coberto, fresco, ventilado e longe de fontes de calor; Manter o ambiente ventilado durante a preparação, aplicação e secagem;</w:t>
            </w:r>
            <w:r w:rsidR="006A7421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 xml:space="preserve">Recomendamos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 w:rsidRPr="00B36214">
              <w:rPr>
                <w:rFonts w:asciiTheme="majorHAnsi" w:hAnsiTheme="majorHAnsi"/>
              </w:rPr>
              <w:t>não-industriais</w:t>
            </w:r>
            <w:proofErr w:type="gramEnd"/>
            <w:r w:rsidRPr="00B36214">
              <w:rPr>
                <w:rFonts w:asciiTheme="majorHAnsi" w:hAnsiTheme="majorHAnsi"/>
              </w:rPr>
              <w:t>, seguindo as recomendações de uso. Caso sobre este produto</w:t>
            </w:r>
            <w:proofErr w:type="gramStart"/>
            <w:r w:rsidRPr="00B36214">
              <w:rPr>
                <w:rFonts w:asciiTheme="majorHAnsi" w:hAnsiTheme="majorHAnsi"/>
              </w:rPr>
              <w:t>, pinte</w:t>
            </w:r>
            <w:proofErr w:type="gramEnd"/>
            <w:r w:rsidRPr="00B36214">
              <w:rPr>
                <w:rFonts w:asciiTheme="majorHAnsi" w:hAnsiTheme="majorHAnsi"/>
              </w:rPr>
              <w:t xml:space="preserve">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Deverão ser garantidas as condições que previnam o tombamento.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As informações contidas neste boletim são meramente </w:t>
            </w:r>
            <w:proofErr w:type="spellStart"/>
            <w:r w:rsidRPr="00B36214">
              <w:rPr>
                <w:rFonts w:asciiTheme="majorHAnsi" w:hAnsiTheme="majorHAnsi"/>
              </w:rPr>
              <w:t>orientativas</w:t>
            </w:r>
            <w:proofErr w:type="spellEnd"/>
            <w:r w:rsidRPr="00B36214">
              <w:rPr>
                <w:rFonts w:asciiTheme="majorHAnsi" w:hAnsiTheme="majorHAnsi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esclarecimentos</w:t>
            </w:r>
            <w:proofErr w:type="gramEnd"/>
            <w:r w:rsidRPr="00B36214">
              <w:rPr>
                <w:rFonts w:asciiTheme="majorHAnsi" w:hAnsiTheme="majorHAnsi"/>
              </w:rPr>
              <w:t xml:space="preserve"> ou informações adicionais, favo</w:t>
            </w:r>
            <w:r w:rsidR="00ED77C3">
              <w:rPr>
                <w:rFonts w:asciiTheme="majorHAnsi" w:hAnsiTheme="majorHAnsi"/>
              </w:rPr>
              <w:t>r consultar nosso SAC ou o site www.tintasaquaflex.com.br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Emergências médicas (24 horas) CEATOX (Centro de Assistência Toxicológica) - 08000 148110</w:t>
            </w:r>
          </w:p>
        </w:tc>
      </w:tr>
    </w:tbl>
    <w:p w:rsidR="00127409" w:rsidRPr="001C0B1B" w:rsidRDefault="00127409" w:rsidP="001C0B1B"/>
    <w:sectPr w:rsidR="00127409" w:rsidRPr="001C0B1B" w:rsidSect="00D14F3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6E" w:rsidRDefault="00B13D6E" w:rsidP="00BD781A">
      <w:pPr>
        <w:spacing w:after="0" w:line="240" w:lineRule="auto"/>
      </w:pPr>
      <w:r>
        <w:separator/>
      </w:r>
    </w:p>
  </w:endnote>
  <w:endnote w:type="continuationSeparator" w:id="0">
    <w:p w:rsidR="00B13D6E" w:rsidRDefault="00B13D6E" w:rsidP="00BD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6E" w:rsidRDefault="00B13D6E" w:rsidP="00BD781A">
      <w:pPr>
        <w:spacing w:after="0" w:line="240" w:lineRule="auto"/>
      </w:pPr>
      <w:r>
        <w:separator/>
      </w:r>
    </w:p>
  </w:footnote>
  <w:footnote w:type="continuationSeparator" w:id="0">
    <w:p w:rsidR="00B13D6E" w:rsidRDefault="00B13D6E" w:rsidP="00BD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1A" w:rsidRDefault="00BD781A" w:rsidP="00BD781A">
    <w:pPr>
      <w:pStyle w:val="Cabealho"/>
      <w:tabs>
        <w:tab w:val="clear" w:pos="4252"/>
        <w:tab w:val="center" w:pos="4678"/>
      </w:tabs>
      <w:ind w:left="2127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2743200" cy="6175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quaflex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81A" w:rsidRPr="0030118B" w:rsidRDefault="00BD781A" w:rsidP="00BD781A">
    <w:pPr>
      <w:pStyle w:val="Cabealho"/>
      <w:jc w:val="center"/>
      <w:rPr>
        <w:rFonts w:ascii="Arial" w:hAnsi="Arial" w:cs="Arial"/>
        <w:b/>
      </w:rPr>
    </w:pPr>
    <w:r w:rsidRPr="00170443">
      <w:rPr>
        <w:rFonts w:ascii="Arial" w:hAnsi="Arial" w:cs="Arial"/>
        <w:b/>
      </w:rPr>
      <w:t>AQUAFLEX</w:t>
    </w:r>
    <w:r w:rsidRPr="0030118B">
      <w:rPr>
        <w:rFonts w:ascii="Arial" w:hAnsi="Arial" w:cs="Arial"/>
        <w:b/>
      </w:rPr>
      <w:t xml:space="preserve"> TINTAS ESPECIAIS LTDA EPP</w:t>
    </w:r>
  </w:p>
  <w:p w:rsidR="00BD781A" w:rsidRPr="0030118B" w:rsidRDefault="00BD781A" w:rsidP="00BD781A">
    <w:pPr>
      <w:pStyle w:val="Cabealho"/>
      <w:jc w:val="center"/>
      <w:rPr>
        <w:rFonts w:ascii="Arial" w:hAnsi="Arial" w:cs="Arial"/>
      </w:rPr>
    </w:pPr>
  </w:p>
  <w:p w:rsidR="00BD781A" w:rsidRPr="0030118B" w:rsidRDefault="00BD781A" w:rsidP="00BD781A">
    <w:pPr>
      <w:pStyle w:val="Cabealho"/>
      <w:jc w:val="center"/>
      <w:rPr>
        <w:rFonts w:ascii="Arial" w:hAnsi="Arial" w:cs="Arial"/>
      </w:rPr>
    </w:pPr>
    <w:proofErr w:type="gramStart"/>
    <w:r w:rsidRPr="0030118B">
      <w:rPr>
        <w:rFonts w:ascii="Arial" w:hAnsi="Arial" w:cs="Arial"/>
      </w:rPr>
      <w:t>CNPJ:</w:t>
    </w:r>
    <w:proofErr w:type="gramEnd"/>
    <w:r w:rsidRPr="0030118B">
      <w:rPr>
        <w:rFonts w:ascii="Arial" w:hAnsi="Arial" w:cs="Arial"/>
      </w:rPr>
      <w:t>10.651.567/0001-81</w:t>
    </w:r>
  </w:p>
  <w:p w:rsidR="00BD781A" w:rsidRPr="0030118B" w:rsidRDefault="00BD781A" w:rsidP="00BD781A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Rua do Meio, n° 02 – Canas/</w:t>
    </w:r>
    <w:proofErr w:type="gramStart"/>
    <w:r w:rsidRPr="0030118B">
      <w:rPr>
        <w:rFonts w:ascii="Arial" w:hAnsi="Arial" w:cs="Arial"/>
      </w:rPr>
      <w:t>SP</w:t>
    </w:r>
    <w:proofErr w:type="gramEnd"/>
  </w:p>
  <w:p w:rsidR="00BD781A" w:rsidRPr="0030118B" w:rsidRDefault="00BD781A" w:rsidP="00BD781A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FONE: (12) 3151-1519 CEP: 12.615-000</w:t>
    </w:r>
  </w:p>
  <w:p w:rsidR="00BD781A" w:rsidRDefault="00BD7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BF"/>
    <w:multiLevelType w:val="hybridMultilevel"/>
    <w:tmpl w:val="D8D61E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9E25B1"/>
    <w:multiLevelType w:val="hybridMultilevel"/>
    <w:tmpl w:val="98685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B95B8B"/>
    <w:multiLevelType w:val="hybridMultilevel"/>
    <w:tmpl w:val="D354E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3B4"/>
    <w:multiLevelType w:val="hybridMultilevel"/>
    <w:tmpl w:val="6A86ECB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B"/>
    <w:rsid w:val="00095EDC"/>
    <w:rsid w:val="00127409"/>
    <w:rsid w:val="00164C3E"/>
    <w:rsid w:val="001B4C1A"/>
    <w:rsid w:val="001C0B1B"/>
    <w:rsid w:val="0034787C"/>
    <w:rsid w:val="00423281"/>
    <w:rsid w:val="004707D5"/>
    <w:rsid w:val="00564FDB"/>
    <w:rsid w:val="00577C85"/>
    <w:rsid w:val="00646C5A"/>
    <w:rsid w:val="00661790"/>
    <w:rsid w:val="006A7421"/>
    <w:rsid w:val="006F1942"/>
    <w:rsid w:val="006F1E0E"/>
    <w:rsid w:val="007C45E3"/>
    <w:rsid w:val="00864B1C"/>
    <w:rsid w:val="009041C9"/>
    <w:rsid w:val="00A056DE"/>
    <w:rsid w:val="00A308F7"/>
    <w:rsid w:val="00A56A69"/>
    <w:rsid w:val="00A958E1"/>
    <w:rsid w:val="00AE0FB9"/>
    <w:rsid w:val="00B00CB1"/>
    <w:rsid w:val="00B13D6E"/>
    <w:rsid w:val="00B346D5"/>
    <w:rsid w:val="00B36214"/>
    <w:rsid w:val="00B4211C"/>
    <w:rsid w:val="00B8113E"/>
    <w:rsid w:val="00BD781A"/>
    <w:rsid w:val="00C405FD"/>
    <w:rsid w:val="00D14F3E"/>
    <w:rsid w:val="00D81A49"/>
    <w:rsid w:val="00E527D6"/>
    <w:rsid w:val="00E7404C"/>
    <w:rsid w:val="00ED77C3"/>
    <w:rsid w:val="00F64BD3"/>
    <w:rsid w:val="00F823F9"/>
    <w:rsid w:val="00F9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81A"/>
  </w:style>
  <w:style w:type="paragraph" w:styleId="Rodap">
    <w:name w:val="footer"/>
    <w:basedOn w:val="Normal"/>
    <w:link w:val="RodapChar"/>
    <w:uiPriority w:val="99"/>
    <w:unhideWhenUsed/>
    <w:rsid w:val="00BD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81A"/>
  </w:style>
  <w:style w:type="paragraph" w:styleId="Textodebalo">
    <w:name w:val="Balloon Text"/>
    <w:basedOn w:val="Normal"/>
    <w:link w:val="TextodebaloChar"/>
    <w:uiPriority w:val="99"/>
    <w:semiHidden/>
    <w:unhideWhenUsed/>
    <w:rsid w:val="00B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81A"/>
  </w:style>
  <w:style w:type="paragraph" w:styleId="Rodap">
    <w:name w:val="footer"/>
    <w:basedOn w:val="Normal"/>
    <w:link w:val="RodapChar"/>
    <w:uiPriority w:val="99"/>
    <w:unhideWhenUsed/>
    <w:rsid w:val="00BD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81A"/>
  </w:style>
  <w:style w:type="paragraph" w:styleId="Textodebalo">
    <w:name w:val="Balloon Text"/>
    <w:basedOn w:val="Normal"/>
    <w:link w:val="TextodebaloChar"/>
    <w:uiPriority w:val="99"/>
    <w:semiHidden/>
    <w:unhideWhenUsed/>
    <w:rsid w:val="00B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2022-04-11T17:21:00Z</dcterms:created>
  <dcterms:modified xsi:type="dcterms:W3CDTF">2022-04-11T17:21:00Z</dcterms:modified>
</cp:coreProperties>
</file>