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F93EB3">
        <w:tc>
          <w:tcPr>
            <w:tcW w:w="8644" w:type="dxa"/>
            <w:gridSpan w:val="2"/>
            <w:shd w:val="clear" w:color="auto" w:fill="FFFF00"/>
          </w:tcPr>
          <w:p w:rsidR="001C0B1B" w:rsidRPr="00ED77C3" w:rsidRDefault="00F93EB3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BD781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95E713D" wp14:editId="372B31F6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E527D6" w:rsidRDefault="00F93EB3" w:rsidP="00ED77C3">
            <w:pPr>
              <w:jc w:val="both"/>
              <w:rPr>
                <w:rFonts w:asciiTheme="majorHAnsi" w:hAnsiTheme="majorHAnsi"/>
                <w:b/>
              </w:rPr>
            </w:pPr>
            <w:r w:rsidRPr="00E527D6">
              <w:rPr>
                <w:rFonts w:asciiTheme="majorHAnsi" w:hAnsiTheme="majorHAnsi"/>
                <w:b/>
              </w:rPr>
              <w:t xml:space="preserve">LÁTEX </w:t>
            </w:r>
            <w:r w:rsidR="00E7404C" w:rsidRPr="00E527D6">
              <w:rPr>
                <w:rFonts w:asciiTheme="majorHAnsi" w:hAnsiTheme="majorHAnsi"/>
                <w:b/>
              </w:rPr>
              <w:t xml:space="preserve">ACRÍLICO </w:t>
            </w:r>
            <w:r w:rsidR="0034787C">
              <w:rPr>
                <w:rFonts w:asciiTheme="majorHAnsi" w:hAnsiTheme="majorHAnsi"/>
                <w:b/>
              </w:rPr>
              <w:t>ECONOMICO</w:t>
            </w:r>
            <w:r w:rsidR="00D66CF5">
              <w:rPr>
                <w:rFonts w:asciiTheme="majorHAnsi" w:hAnsiTheme="majorHAnsi"/>
                <w:b/>
              </w:rPr>
              <w:t>/STANDARD</w:t>
            </w:r>
            <w:bookmarkStart w:id="0" w:name="_GoBack"/>
            <w:bookmarkEnd w:id="0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</w:t>
            </w:r>
            <w:r w:rsidR="006F1942">
              <w:rPr>
                <w:rFonts w:asciiTheme="majorHAnsi" w:hAnsiTheme="majorHAnsi"/>
              </w:rPr>
              <w:t>orma ABNT NBR 11702</w:t>
            </w:r>
            <w:r w:rsidR="001B4C1A">
              <w:rPr>
                <w:rFonts w:asciiTheme="majorHAnsi" w:hAnsiTheme="majorHAnsi"/>
              </w:rPr>
              <w:t xml:space="preserve"> de 07/2010 tipo 4.5.2</w:t>
            </w:r>
            <w:r w:rsidR="006F1942">
              <w:rPr>
                <w:rFonts w:asciiTheme="majorHAnsi" w:hAnsiTheme="majorHAnsi"/>
              </w:rPr>
              <w:t xml:space="preserve"> e </w:t>
            </w:r>
            <w:r w:rsidR="001B4C1A">
              <w:rPr>
                <w:rFonts w:asciiTheme="majorHAnsi" w:hAnsiTheme="majorHAnsi"/>
              </w:rPr>
              <w:t xml:space="preserve">atende a </w:t>
            </w:r>
            <w:r w:rsidR="006F1942">
              <w:rPr>
                <w:rFonts w:asciiTheme="majorHAnsi" w:hAnsiTheme="majorHAnsi"/>
              </w:rPr>
              <w:t>NBR 15079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F93EB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Látex </w:t>
            </w:r>
            <w:r w:rsidR="0034787C">
              <w:rPr>
                <w:rFonts w:asciiTheme="majorHAnsi" w:hAnsiTheme="majorHAnsi"/>
              </w:rPr>
              <w:t>Acrílico Econômico</w:t>
            </w:r>
            <w:r w:rsidR="001C0B1B" w:rsidRPr="00B36214">
              <w:rPr>
                <w:rFonts w:asciiTheme="majorHAnsi" w:hAnsiTheme="majorHAnsi"/>
              </w:rPr>
              <w:t xml:space="preserve"> é um produto de fácil aplicação com ótimo rendimento e boa </w:t>
            </w:r>
          </w:p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cobertura</w:t>
            </w:r>
            <w:proofErr w:type="gramEnd"/>
            <w:r w:rsidRPr="00B36214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Indicado para pintura de superfícies internas de reboco, massa acrílica, texturas, concreto, </w:t>
            </w:r>
          </w:p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 xml:space="preserve"> e superfícies internas de massa corrida e gesso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Fácil aplicação, ótimo rendimento e </w:t>
            </w:r>
            <w:r w:rsidR="00ED77C3">
              <w:rPr>
                <w:rFonts w:asciiTheme="majorHAnsi" w:hAnsiTheme="majorHAnsi"/>
              </w:rPr>
              <w:t>c</w:t>
            </w:r>
            <w:r w:rsidRPr="00B36214">
              <w:rPr>
                <w:rFonts w:asciiTheme="majorHAnsi" w:hAnsiTheme="majorHAnsi"/>
              </w:rPr>
              <w:t>obertura.</w:t>
            </w:r>
          </w:p>
        </w:tc>
      </w:tr>
      <w:tr w:rsidR="001C0B1B" w:rsidRPr="00B36214" w:rsidTr="00F93EB3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às intempéries.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Resistente a </w:t>
            </w:r>
            <w:proofErr w:type="spellStart"/>
            <w:r w:rsidRPr="00B36214">
              <w:rPr>
                <w:rFonts w:asciiTheme="majorHAnsi" w:hAnsiTheme="majorHAnsi"/>
              </w:rPr>
              <w:t>lavabilidade</w:t>
            </w:r>
            <w:proofErr w:type="spellEnd"/>
            <w:r w:rsidRPr="00B36214">
              <w:rPr>
                <w:rFonts w:asciiTheme="majorHAnsi" w:hAnsiTheme="majorHAnsi"/>
              </w:rPr>
              <w:t xml:space="preserve"> (norma NBR 15078).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F93EB3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Resina à base de dispersão aquosa de polímero acrílico, pigmentos isentos de metais pesados, cargas minerais inertes, glicóis e </w:t>
            </w:r>
            <w:proofErr w:type="spellStart"/>
            <w:r w:rsidRPr="00B36214">
              <w:rPr>
                <w:rFonts w:asciiTheme="majorHAnsi" w:hAnsiTheme="majorHAnsi"/>
              </w:rPr>
              <w:t>tensoativos</w:t>
            </w:r>
            <w:proofErr w:type="spellEnd"/>
            <w:r w:rsidR="0034787C">
              <w:rPr>
                <w:rFonts w:asciiTheme="majorHAnsi" w:hAnsiTheme="majorHAnsi"/>
              </w:rPr>
              <w:t xml:space="preserve"> </w:t>
            </w:r>
            <w:proofErr w:type="spellStart"/>
            <w:r w:rsidRPr="00B36214">
              <w:rPr>
                <w:rFonts w:asciiTheme="majorHAnsi" w:hAnsiTheme="majorHAnsi"/>
              </w:rPr>
              <w:t>etoxilados</w:t>
            </w:r>
            <w:proofErr w:type="spellEnd"/>
            <w:r w:rsidRPr="00B36214">
              <w:rPr>
                <w:rFonts w:asciiTheme="majorHAnsi" w:hAnsiTheme="majorHAnsi"/>
              </w:rPr>
              <w:t xml:space="preserve"> e </w:t>
            </w:r>
            <w:proofErr w:type="spellStart"/>
            <w:r w:rsidRPr="00B36214">
              <w:rPr>
                <w:rFonts w:asciiTheme="majorHAnsi" w:hAnsiTheme="majorHAnsi"/>
              </w:rPr>
              <w:t>carboxilados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29 </w:t>
            </w:r>
            <w:proofErr w:type="gramStart"/>
            <w:r w:rsidRPr="00B36214">
              <w:rPr>
                <w:rFonts w:asciiTheme="majorHAnsi" w:hAnsiTheme="majorHAnsi"/>
              </w:rPr>
              <w:t>g/L</w:t>
            </w:r>
            <w:proofErr w:type="gramEnd"/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37,10 – 39,10 %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produto)</w:t>
            </w:r>
          </w:p>
        </w:tc>
        <w:tc>
          <w:tcPr>
            <w:tcW w:w="4519" w:type="dxa"/>
          </w:tcPr>
          <w:p w:rsidR="00127409" w:rsidRPr="00B36214" w:rsidRDefault="0034787C" w:rsidP="003478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1,35 - 1,50</w:t>
            </w:r>
            <w:r w:rsidR="00127409" w:rsidRPr="00B36214">
              <w:rPr>
                <w:rFonts w:asciiTheme="majorHAnsi" w:hAnsiTheme="majorHAnsi"/>
              </w:rPr>
              <w:t xml:space="preserve"> g/cm3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pH</w:t>
            </w:r>
            <w:proofErr w:type="gramEnd"/>
            <w:r w:rsidRPr="00B36214">
              <w:rPr>
                <w:rFonts w:asciiTheme="majorHAnsi" w:hAnsiTheme="majorHAnsi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8,5 – </w:t>
            </w:r>
            <w:r w:rsidR="0034787C">
              <w:rPr>
                <w:rFonts w:asciiTheme="majorHAnsi" w:hAnsiTheme="majorHAnsi"/>
              </w:rPr>
              <w:t>9,5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Brilho (acabamento)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Fosco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127409" w:rsidRPr="00B36214" w:rsidRDefault="00ED77C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127409"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127409" w:rsidRPr="00B36214" w:rsidTr="00F93EB3">
        <w:tc>
          <w:tcPr>
            <w:tcW w:w="8644" w:type="dxa"/>
            <w:gridSpan w:val="2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127409" w:rsidRPr="00B36214" w:rsidTr="00CC0541">
        <w:tc>
          <w:tcPr>
            <w:tcW w:w="8644" w:type="dxa"/>
            <w:gridSpan w:val="2"/>
          </w:tcPr>
          <w:p w:rsidR="00127409" w:rsidRPr="00B36214" w:rsidRDefault="00127409" w:rsidP="00ED77C3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F93EB3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Superfícies novas de reboco de</w:t>
            </w:r>
            <w:r w:rsidR="00B36214">
              <w:rPr>
                <w:rFonts w:asciiTheme="majorHAnsi" w:hAnsiTheme="majorHAnsi"/>
              </w:rPr>
              <w:t>vem receber aplicação de</w:t>
            </w:r>
            <w:r w:rsidR="0037758A">
              <w:rPr>
                <w:rFonts w:asciiTheme="majorHAnsi" w:hAnsiTheme="majorHAnsi"/>
              </w:rPr>
              <w:t xml:space="preserve"> Fundo Preparador e</w:t>
            </w:r>
            <w:proofErr w:type="gramStart"/>
            <w:r w:rsidR="0037758A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 </w:t>
            </w:r>
            <w:proofErr w:type="gramEnd"/>
            <w:r w:rsidRPr="00B36214">
              <w:rPr>
                <w:rFonts w:asciiTheme="majorHAnsi" w:hAnsiTheme="majorHAnsi"/>
              </w:rPr>
              <w:t>Selador Acrílico, a fim de</w:t>
            </w:r>
            <w:r w:rsidR="0037758A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>uniformizar a absorção, reduzindo o consumo de tinta e melhorando a aparência e resistência do acabamento. No caso de aplicação sobre superfícies “fracas” – reboco fraco, caiação, pintura qu</w:t>
            </w:r>
            <w:r w:rsidR="00B36214">
              <w:rPr>
                <w:rFonts w:asciiTheme="majorHAnsi" w:hAnsiTheme="majorHAnsi"/>
              </w:rPr>
              <w:t>eimada pelo sol, aplicar</w:t>
            </w:r>
            <w:r w:rsidRPr="00B36214">
              <w:rPr>
                <w:rFonts w:asciiTheme="majorHAnsi" w:hAnsiTheme="majorHAnsi"/>
              </w:rPr>
              <w:t xml:space="preserve"> Fundo Preparador, para torná-las firmes. Sempre que desejado ou necessário nivelar</w:t>
            </w:r>
            <w:r w:rsidR="00B36214">
              <w:rPr>
                <w:rFonts w:asciiTheme="majorHAnsi" w:hAnsiTheme="majorHAnsi"/>
              </w:rPr>
              <w:t xml:space="preserve"> a superfície, utilizar</w:t>
            </w:r>
            <w:r w:rsidRPr="00B36214">
              <w:rPr>
                <w:rFonts w:asciiTheme="majorHAnsi" w:hAnsiTheme="majorHAnsi"/>
              </w:rPr>
              <w:t xml:space="preserve"> Massa Corrida (</w:t>
            </w:r>
            <w:r w:rsidR="0037758A">
              <w:rPr>
                <w:rFonts w:asciiTheme="majorHAnsi" w:hAnsiTheme="majorHAnsi"/>
              </w:rPr>
              <w:t xml:space="preserve">exterior ou </w:t>
            </w:r>
            <w:r w:rsidRPr="00B36214">
              <w:rPr>
                <w:rFonts w:asciiTheme="majorHAnsi" w:hAnsiTheme="majorHAnsi"/>
              </w:rPr>
              <w:t>interior). Lembrando que a superfície deve estar firme, coesa, limpa, seca, sem poeira, gordura, graxa, sabão ou mofo antes de qualquer aplicação.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127409" w:rsidRPr="00B36214" w:rsidTr="00127409">
        <w:tc>
          <w:tcPr>
            <w:tcW w:w="4322" w:type="dxa"/>
            <w:vMerge w:val="restart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Massa corrida, massa acrílica, texturas, </w:t>
            </w:r>
          </w:p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>, reboco, gesso ou concreto.</w:t>
            </w:r>
          </w:p>
        </w:tc>
        <w:tc>
          <w:tcPr>
            <w:tcW w:w="2072" w:type="dxa"/>
          </w:tcPr>
          <w:p w:rsidR="00127409" w:rsidRPr="00B36214" w:rsidRDefault="00F93EB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27409" w:rsidRPr="00B36214">
              <w:rPr>
                <w:rFonts w:asciiTheme="majorHAnsi" w:hAnsiTheme="majorHAnsi"/>
              </w:rPr>
              <w:t>0% 1ª demão/</w:t>
            </w:r>
            <w:r>
              <w:rPr>
                <w:rFonts w:asciiTheme="majorHAnsi" w:hAnsiTheme="majorHAnsi"/>
              </w:rPr>
              <w:t>1</w:t>
            </w:r>
            <w:r w:rsidR="00127409" w:rsidRPr="00B36214">
              <w:rPr>
                <w:rFonts w:asciiTheme="majorHAnsi" w:hAnsiTheme="majorHAnsi"/>
              </w:rPr>
              <w:t>0% demais demãos</w:t>
            </w:r>
          </w:p>
        </w:tc>
      </w:tr>
      <w:tr w:rsidR="00127409" w:rsidRPr="00B36214" w:rsidTr="00127409">
        <w:tc>
          <w:tcPr>
            <w:tcW w:w="4322" w:type="dxa"/>
            <w:vMerge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127409" w:rsidRPr="00B36214" w:rsidRDefault="00F93EB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27409" w:rsidRPr="00B36214">
              <w:rPr>
                <w:rFonts w:asciiTheme="majorHAnsi" w:hAnsiTheme="majorHAnsi"/>
              </w:rPr>
              <w:t>0% em todas as demãos</w:t>
            </w:r>
          </w:p>
        </w:tc>
      </w:tr>
      <w:tr w:rsidR="00B346D5" w:rsidRPr="00B36214" w:rsidTr="00127409">
        <w:tc>
          <w:tcPr>
            <w:tcW w:w="4322" w:type="dxa"/>
            <w:vMerge w:val="restart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Massa corrida, massa acrílica, texturas,</w:t>
            </w:r>
          </w:p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>, reboco, gesso ou concreto.</w:t>
            </w:r>
          </w:p>
        </w:tc>
        <w:tc>
          <w:tcPr>
            <w:tcW w:w="2072" w:type="dxa"/>
          </w:tcPr>
          <w:p w:rsidR="00B346D5" w:rsidRPr="00B36214" w:rsidRDefault="00B36214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a 45 m²/</w:t>
            </w:r>
            <w:r w:rsidR="00B346D5" w:rsidRPr="00B36214">
              <w:rPr>
                <w:rFonts w:asciiTheme="majorHAnsi" w:hAnsiTheme="majorHAnsi"/>
              </w:rPr>
              <w:t>galão/demão</w:t>
            </w:r>
          </w:p>
        </w:tc>
      </w:tr>
      <w:tr w:rsidR="00B346D5" w:rsidRPr="00B36214" w:rsidTr="00127409">
        <w:tc>
          <w:tcPr>
            <w:tcW w:w="4322" w:type="dxa"/>
            <w:vMerge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B346D5" w:rsidRPr="00B36214" w:rsidRDefault="00B346D5" w:rsidP="00B36214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40 a 48 m</w:t>
            </w:r>
            <w:r w:rsidR="00B36214">
              <w:rPr>
                <w:rFonts w:asciiTheme="majorHAnsi" w:hAnsiTheme="majorHAnsi"/>
              </w:rPr>
              <w:t>²/</w:t>
            </w:r>
            <w:r w:rsidRPr="00B36214">
              <w:rPr>
                <w:rFonts w:asciiTheme="majorHAnsi" w:hAnsiTheme="majorHAnsi"/>
              </w:rPr>
              <w:t>galão/demão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Duas a três demãos com intervalo mínimo de 4 horas.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Rolo de lã, pincel ou trincha e pistola.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1 hora ao toque/ 12 horas final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Lavar com água e detergente neutro esfregando suavemente com pano/esponja macia</w:t>
            </w:r>
          </w:p>
        </w:tc>
      </w:tr>
      <w:tr w:rsidR="00B346D5" w:rsidRPr="00B36214" w:rsidTr="00F93EB3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</w:t>
            </w:r>
            <w:r w:rsidR="00044885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;Recomendamos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</w:t>
            </w:r>
            <w:r w:rsidRPr="00B36214">
              <w:rPr>
                <w:rFonts w:asciiTheme="majorHAnsi" w:hAnsiTheme="majorHAnsi"/>
              </w:rPr>
              <w:lastRenderedPageBreak/>
              <w:t>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D14F3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45" w:rsidRDefault="00627545" w:rsidP="00BD781A">
      <w:pPr>
        <w:spacing w:after="0" w:line="240" w:lineRule="auto"/>
      </w:pPr>
      <w:r>
        <w:separator/>
      </w:r>
    </w:p>
  </w:endnote>
  <w:endnote w:type="continuationSeparator" w:id="0">
    <w:p w:rsidR="00627545" w:rsidRDefault="00627545" w:rsidP="00BD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45" w:rsidRDefault="00627545" w:rsidP="00BD781A">
      <w:pPr>
        <w:spacing w:after="0" w:line="240" w:lineRule="auto"/>
      </w:pPr>
      <w:r>
        <w:separator/>
      </w:r>
    </w:p>
  </w:footnote>
  <w:footnote w:type="continuationSeparator" w:id="0">
    <w:p w:rsidR="00627545" w:rsidRDefault="00627545" w:rsidP="00BD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A" w:rsidRDefault="00BD781A" w:rsidP="00BD781A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81A" w:rsidRPr="0030118B" w:rsidRDefault="00BD781A" w:rsidP="00BD781A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BD781A" w:rsidRPr="0030118B" w:rsidRDefault="00BD781A" w:rsidP="00BD781A">
    <w:pPr>
      <w:pStyle w:val="Cabealho"/>
      <w:jc w:val="center"/>
      <w:rPr>
        <w:rFonts w:ascii="Arial" w:hAnsi="Arial" w:cs="Arial"/>
      </w:rPr>
    </w:pPr>
  </w:p>
  <w:p w:rsidR="00BD781A" w:rsidRPr="0030118B" w:rsidRDefault="00BD781A" w:rsidP="00BD781A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BD781A" w:rsidRPr="0030118B" w:rsidRDefault="00BD781A" w:rsidP="00BD781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BD781A" w:rsidRPr="0030118B" w:rsidRDefault="00BD781A" w:rsidP="00BD781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BD781A" w:rsidRDefault="00BD7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44885"/>
    <w:rsid w:val="00127409"/>
    <w:rsid w:val="001B4C1A"/>
    <w:rsid w:val="001C0B1B"/>
    <w:rsid w:val="0034787C"/>
    <w:rsid w:val="0037758A"/>
    <w:rsid w:val="00423281"/>
    <w:rsid w:val="004707D5"/>
    <w:rsid w:val="00553BB6"/>
    <w:rsid w:val="00564FDB"/>
    <w:rsid w:val="00627545"/>
    <w:rsid w:val="00661790"/>
    <w:rsid w:val="006F1942"/>
    <w:rsid w:val="006F1E0E"/>
    <w:rsid w:val="007E1B4D"/>
    <w:rsid w:val="008B69B8"/>
    <w:rsid w:val="00A308F7"/>
    <w:rsid w:val="00B346D5"/>
    <w:rsid w:val="00B36214"/>
    <w:rsid w:val="00B4211C"/>
    <w:rsid w:val="00B557F2"/>
    <w:rsid w:val="00B8113E"/>
    <w:rsid w:val="00BD781A"/>
    <w:rsid w:val="00C405FD"/>
    <w:rsid w:val="00CD7567"/>
    <w:rsid w:val="00D14F3E"/>
    <w:rsid w:val="00D66CF5"/>
    <w:rsid w:val="00E527D6"/>
    <w:rsid w:val="00E7404C"/>
    <w:rsid w:val="00ED77C3"/>
    <w:rsid w:val="00F82ED0"/>
    <w:rsid w:val="00F9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81A"/>
  </w:style>
  <w:style w:type="paragraph" w:styleId="Rodap">
    <w:name w:val="footer"/>
    <w:basedOn w:val="Normal"/>
    <w:link w:val="Rodap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81A"/>
  </w:style>
  <w:style w:type="paragraph" w:styleId="Textodebalo">
    <w:name w:val="Balloon Text"/>
    <w:basedOn w:val="Normal"/>
    <w:link w:val="TextodebaloChar"/>
    <w:uiPriority w:val="99"/>
    <w:semiHidden/>
    <w:unhideWhenUsed/>
    <w:rsid w:val="00B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81A"/>
  </w:style>
  <w:style w:type="paragraph" w:styleId="Rodap">
    <w:name w:val="footer"/>
    <w:basedOn w:val="Normal"/>
    <w:link w:val="Rodap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81A"/>
  </w:style>
  <w:style w:type="paragraph" w:styleId="Textodebalo">
    <w:name w:val="Balloon Text"/>
    <w:basedOn w:val="Normal"/>
    <w:link w:val="TextodebaloChar"/>
    <w:uiPriority w:val="99"/>
    <w:semiHidden/>
    <w:unhideWhenUsed/>
    <w:rsid w:val="00B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2022-04-11T17:16:00Z</dcterms:created>
  <dcterms:modified xsi:type="dcterms:W3CDTF">2022-04-11T19:03:00Z</dcterms:modified>
</cp:coreProperties>
</file>