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800DFA">
        <w:tc>
          <w:tcPr>
            <w:tcW w:w="8644" w:type="dxa"/>
            <w:gridSpan w:val="2"/>
            <w:shd w:val="clear" w:color="auto" w:fill="FFFF00"/>
          </w:tcPr>
          <w:p w:rsidR="001C0B1B" w:rsidRPr="00ED77C3" w:rsidRDefault="002665FB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800DFA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700ECF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                                        </w:t>
            </w:r>
            <w:r w:rsidR="00700EC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C616760" wp14:editId="7FC7A28A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3D5ABE" w:rsidRDefault="00575554" w:rsidP="00D67634">
            <w:pPr>
              <w:jc w:val="both"/>
              <w:rPr>
                <w:rFonts w:asciiTheme="majorHAnsi" w:hAnsiTheme="majorHAnsi"/>
                <w:b/>
              </w:rPr>
            </w:pPr>
            <w:r w:rsidRPr="003D5ABE">
              <w:rPr>
                <w:rFonts w:asciiTheme="majorHAnsi" w:hAnsiTheme="majorHAnsi"/>
                <w:b/>
              </w:rPr>
              <w:t xml:space="preserve">TINTA </w:t>
            </w:r>
            <w:proofErr w:type="gramStart"/>
            <w:r w:rsidRPr="003D5ABE">
              <w:rPr>
                <w:rFonts w:asciiTheme="majorHAnsi" w:hAnsiTheme="majorHAnsi"/>
                <w:b/>
              </w:rPr>
              <w:t>ACRÍLICA</w:t>
            </w:r>
            <w:r w:rsidR="002665FB" w:rsidRPr="003D5ABE">
              <w:rPr>
                <w:rFonts w:asciiTheme="majorHAnsi" w:hAnsiTheme="majorHAnsi"/>
                <w:b/>
              </w:rPr>
              <w:t xml:space="preserve"> FOSCO</w:t>
            </w:r>
            <w:proofErr w:type="gramEnd"/>
            <w:r w:rsidR="002665FB" w:rsidRPr="003D5ABE">
              <w:rPr>
                <w:rFonts w:asciiTheme="majorHAnsi" w:hAnsiTheme="majorHAnsi"/>
                <w:b/>
              </w:rPr>
              <w:t xml:space="preserve"> PREMIUM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2665FB" w:rsidP="00ED77C3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>Norma ABNT NBR 11702 – Tipo 4.5.1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2665FB" w:rsidP="002665FB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 xml:space="preserve">É uma tinta de alta </w:t>
            </w:r>
            <w:proofErr w:type="gramStart"/>
            <w:r w:rsidRPr="002665FB">
              <w:rPr>
                <w:rFonts w:asciiTheme="majorHAnsi" w:hAnsiTheme="majorHAnsi"/>
              </w:rPr>
              <w:t>performance</w:t>
            </w:r>
            <w:proofErr w:type="gramEnd"/>
            <w:r w:rsidRPr="002665FB">
              <w:rPr>
                <w:rFonts w:asciiTheme="majorHAnsi" w:hAnsiTheme="majorHAnsi"/>
              </w:rPr>
              <w:t xml:space="preserve">, de fácil aplicação, baixo </w:t>
            </w:r>
            <w:proofErr w:type="spellStart"/>
            <w:r w:rsidRPr="002665FB">
              <w:rPr>
                <w:rFonts w:asciiTheme="majorHAnsi" w:hAnsiTheme="majorHAnsi"/>
              </w:rPr>
              <w:t>respingamento</w:t>
            </w:r>
            <w:proofErr w:type="spellEnd"/>
            <w:r w:rsidRPr="002665FB">
              <w:rPr>
                <w:rFonts w:asciiTheme="majorHAnsi" w:hAnsiTheme="majorHAnsi"/>
              </w:rPr>
              <w:t>, ótima cobertura e resistência às intempéries com ex</w:t>
            </w:r>
            <w:r w:rsidR="00485409">
              <w:rPr>
                <w:rFonts w:asciiTheme="majorHAnsi" w:hAnsiTheme="majorHAnsi"/>
              </w:rPr>
              <w:t xml:space="preserve">celente alastramento. 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2665FB" w:rsidRPr="002665FB" w:rsidRDefault="002665FB" w:rsidP="002665FB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 xml:space="preserve">Indicada para pintura de superfícies externas e internas de reboco, massa acrílica, texturas, </w:t>
            </w:r>
          </w:p>
          <w:p w:rsidR="002665FB" w:rsidRPr="002665FB" w:rsidRDefault="002665FB" w:rsidP="002665FB">
            <w:pPr>
              <w:jc w:val="both"/>
              <w:rPr>
                <w:rFonts w:asciiTheme="majorHAnsi" w:hAnsiTheme="majorHAnsi"/>
              </w:rPr>
            </w:pPr>
            <w:proofErr w:type="gramStart"/>
            <w:r w:rsidRPr="002665FB">
              <w:rPr>
                <w:rFonts w:asciiTheme="majorHAnsi" w:hAnsiTheme="majorHAnsi"/>
              </w:rPr>
              <w:t>concreto</w:t>
            </w:r>
            <w:proofErr w:type="gramEnd"/>
            <w:r w:rsidRPr="002665FB">
              <w:rPr>
                <w:rFonts w:asciiTheme="majorHAnsi" w:hAnsiTheme="majorHAnsi"/>
              </w:rPr>
              <w:t xml:space="preserve">, fibrocimento e superfícies internas de massa corrida e gesso. Base desenvolvida </w:t>
            </w:r>
          </w:p>
          <w:p w:rsidR="001C0B1B" w:rsidRPr="00B36214" w:rsidRDefault="002665FB" w:rsidP="002665FB">
            <w:pPr>
              <w:jc w:val="both"/>
              <w:rPr>
                <w:rFonts w:asciiTheme="majorHAnsi" w:hAnsiTheme="majorHAnsi"/>
              </w:rPr>
            </w:pPr>
            <w:proofErr w:type="gramStart"/>
            <w:r w:rsidRPr="002665FB">
              <w:rPr>
                <w:rFonts w:asciiTheme="majorHAnsi" w:hAnsiTheme="majorHAnsi"/>
              </w:rPr>
              <w:t>exclusivamente</w:t>
            </w:r>
            <w:proofErr w:type="gramEnd"/>
            <w:r w:rsidRPr="002665FB">
              <w:rPr>
                <w:rFonts w:asciiTheme="majorHAnsi" w:hAnsiTheme="majorHAnsi"/>
              </w:rPr>
              <w:t xml:space="preserve"> para tingimento no sistema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800DFA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800DFA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>Ótima resistência às intempéries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Resistente à </w:t>
            </w:r>
            <w:proofErr w:type="spellStart"/>
            <w:r w:rsidRPr="00D67634">
              <w:rPr>
                <w:rFonts w:asciiTheme="majorHAnsi" w:hAnsiTheme="majorHAnsi"/>
              </w:rPr>
              <w:t>lavabilidade</w:t>
            </w:r>
            <w:proofErr w:type="spellEnd"/>
            <w:r w:rsidRPr="00D67634">
              <w:rPr>
                <w:rFonts w:asciiTheme="majorHAnsi" w:hAnsiTheme="majorHAnsi"/>
              </w:rPr>
              <w:t xml:space="preserve"> (norma NBR 14940).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</w:t>
            </w:r>
            <w:r w:rsidR="00485409">
              <w:rPr>
                <w:rFonts w:asciiTheme="majorHAnsi" w:hAnsiTheme="majorHAnsi"/>
              </w:rPr>
              <w:t>ou umidade relativa maior que 85</w:t>
            </w:r>
            <w:r w:rsidRPr="00B36214">
              <w:rPr>
                <w:rFonts w:asciiTheme="majorHAnsi" w:hAnsiTheme="majorHAnsi"/>
              </w:rPr>
              <w:t>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sobre reboco com menos de 28 dias de cura.</w:t>
            </w:r>
          </w:p>
        </w:tc>
      </w:tr>
      <w:tr w:rsidR="00B36214" w:rsidRPr="00B36214" w:rsidTr="00800DFA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00DFA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2665FB" w:rsidP="002665FB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 xml:space="preserve">Resina à base de dispersão aquosa de copolímero estireno acrílico, pigmentos isentos de metais pesados, cargas minerais inertes, glicóis, </w:t>
            </w:r>
            <w:proofErr w:type="spellStart"/>
            <w:r w:rsidRPr="002665FB">
              <w:rPr>
                <w:rFonts w:asciiTheme="majorHAnsi" w:hAnsiTheme="majorHAnsi"/>
              </w:rPr>
              <w:t>tensoativos</w:t>
            </w:r>
            <w:proofErr w:type="spellEnd"/>
            <w:r w:rsidRPr="002665FB">
              <w:rPr>
                <w:rFonts w:asciiTheme="majorHAnsi" w:hAnsiTheme="majorHAnsi"/>
              </w:rPr>
              <w:t xml:space="preserve"> </w:t>
            </w:r>
            <w:proofErr w:type="spellStart"/>
            <w:r w:rsidRPr="002665FB">
              <w:rPr>
                <w:rFonts w:asciiTheme="majorHAnsi" w:hAnsiTheme="majorHAnsi"/>
              </w:rPr>
              <w:t>etoxilados</w:t>
            </w:r>
            <w:proofErr w:type="spellEnd"/>
            <w:r w:rsidRPr="002665FB">
              <w:rPr>
                <w:rFonts w:asciiTheme="majorHAnsi" w:hAnsiTheme="majorHAnsi"/>
              </w:rPr>
              <w:t xml:space="preserve"> e </w:t>
            </w:r>
            <w:proofErr w:type="spellStart"/>
            <w:r w:rsidRPr="002665FB">
              <w:rPr>
                <w:rFonts w:asciiTheme="majorHAnsi" w:hAnsiTheme="majorHAnsi"/>
              </w:rPr>
              <w:t>carboxilados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564FD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27409" w:rsidRPr="00B3621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9L,</w:t>
            </w:r>
            <w:r w:rsidR="00127409" w:rsidRPr="00B36214">
              <w:rPr>
                <w:rFonts w:asciiTheme="majorHAnsi" w:hAnsiTheme="majorHAnsi"/>
              </w:rPr>
              <w:t xml:space="preserve"> 3,6</w:t>
            </w:r>
            <w:r>
              <w:rPr>
                <w:rFonts w:asciiTheme="majorHAnsi" w:hAnsiTheme="majorHAnsi"/>
              </w:rPr>
              <w:t>L</w:t>
            </w:r>
            <w:r w:rsidR="00127409" w:rsidRPr="00B36214">
              <w:rPr>
                <w:rFonts w:asciiTheme="majorHAnsi" w:hAnsiTheme="majorHAnsi"/>
              </w:rPr>
              <w:t xml:space="preserve"> e 18L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VOC - Compostos Orgânicos Voláteis - (Valor obtido através da Norma </w:t>
            </w:r>
            <w:proofErr w:type="spellStart"/>
            <w:r w:rsidRPr="00D67634">
              <w:rPr>
                <w:rFonts w:asciiTheme="majorHAnsi" w:hAnsiTheme="majorHAnsi"/>
              </w:rPr>
              <w:t>Européia</w:t>
            </w:r>
            <w:proofErr w:type="spellEnd"/>
            <w:r w:rsidRPr="00D67634">
              <w:rPr>
                <w:rFonts w:asciiTheme="majorHAnsi" w:hAnsiTheme="majorHAnsi"/>
              </w:rPr>
              <w:t xml:space="preserve"> DIN EN 11890-1)</w:t>
            </w:r>
          </w:p>
        </w:tc>
        <w:tc>
          <w:tcPr>
            <w:tcW w:w="4519" w:type="dxa"/>
          </w:tcPr>
          <w:p w:rsidR="00127409" w:rsidRPr="00B36214" w:rsidRDefault="002665FB" w:rsidP="00ED77C3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>13,7 g/ L</w:t>
            </w:r>
          </w:p>
        </w:tc>
      </w:tr>
      <w:tr w:rsidR="00D67634" w:rsidRPr="00B36214" w:rsidTr="001C0B1B">
        <w:tc>
          <w:tcPr>
            <w:tcW w:w="4125" w:type="dxa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>VOC - Compostos Orgânicos Voláteis - (Valor obtido através da Norma Internacional ASTM D 3960-05)</w:t>
            </w:r>
          </w:p>
        </w:tc>
        <w:tc>
          <w:tcPr>
            <w:tcW w:w="4519" w:type="dxa"/>
          </w:tcPr>
          <w:p w:rsidR="00D67634" w:rsidRPr="00D67634" w:rsidRDefault="002665FB" w:rsidP="00ED77C3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>13,7 g/ 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2665FB" w:rsidP="00ED77C3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t>51,20 – 53,20 %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produto)</w:t>
            </w:r>
          </w:p>
        </w:tc>
        <w:tc>
          <w:tcPr>
            <w:tcW w:w="4519" w:type="dxa"/>
          </w:tcPr>
          <w:p w:rsidR="00127409" w:rsidRPr="00B36214" w:rsidRDefault="002665F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1,33 – 1,37 g/cm³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pH</w:t>
            </w:r>
            <w:proofErr w:type="gramEnd"/>
            <w:r w:rsidRPr="00B36214">
              <w:rPr>
                <w:rFonts w:asciiTheme="majorHAnsi" w:hAnsiTheme="majorHAnsi"/>
              </w:rPr>
              <w:t xml:space="preserve"> - valores maiores que 7 (alcalinos), </w:t>
            </w:r>
            <w:r w:rsidRPr="00B36214">
              <w:rPr>
                <w:rFonts w:asciiTheme="majorHAnsi" w:hAnsiTheme="majorHAnsi"/>
              </w:rPr>
              <w:lastRenderedPageBreak/>
              <w:t>menores que 7 (ácidos) e iguais a 7 (neutros)</w:t>
            </w:r>
          </w:p>
        </w:tc>
        <w:tc>
          <w:tcPr>
            <w:tcW w:w="4519" w:type="dxa"/>
          </w:tcPr>
          <w:p w:rsidR="00127409" w:rsidRPr="00B36214" w:rsidRDefault="002665FB" w:rsidP="00ED77C3">
            <w:pPr>
              <w:jc w:val="both"/>
              <w:rPr>
                <w:rFonts w:asciiTheme="majorHAnsi" w:hAnsiTheme="majorHAnsi"/>
              </w:rPr>
            </w:pPr>
            <w:r w:rsidRPr="002665FB">
              <w:rPr>
                <w:rFonts w:asciiTheme="majorHAnsi" w:hAnsiTheme="majorHAnsi"/>
              </w:rPr>
              <w:lastRenderedPageBreak/>
              <w:t>8,5 – 11,0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Brilho (acabamento)</w:t>
            </w:r>
          </w:p>
        </w:tc>
        <w:tc>
          <w:tcPr>
            <w:tcW w:w="4519" w:type="dxa"/>
          </w:tcPr>
          <w:p w:rsidR="00127409" w:rsidRPr="00B36214" w:rsidRDefault="002665F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Fosco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127409" w:rsidRPr="00B36214" w:rsidRDefault="00ED77C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127409"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127409" w:rsidRPr="00B36214" w:rsidTr="00800DFA">
        <w:tc>
          <w:tcPr>
            <w:tcW w:w="8644" w:type="dxa"/>
            <w:gridSpan w:val="2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00DFA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127409" w:rsidRPr="00B36214" w:rsidTr="00CC0541">
        <w:tc>
          <w:tcPr>
            <w:tcW w:w="8644" w:type="dxa"/>
            <w:gridSpan w:val="2"/>
          </w:tcPr>
          <w:p w:rsidR="00127409" w:rsidRPr="00B36214" w:rsidRDefault="00127409" w:rsidP="00ED77C3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2072"/>
      </w:tblGrid>
      <w:tr w:rsidR="00127409" w:rsidRPr="00B36214" w:rsidTr="00800DFA">
        <w:tc>
          <w:tcPr>
            <w:tcW w:w="8644" w:type="dxa"/>
            <w:gridSpan w:val="3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00DFA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Superfícies novas de reboco de</w:t>
            </w:r>
            <w:r w:rsidR="00B36214">
              <w:rPr>
                <w:rFonts w:asciiTheme="majorHAnsi" w:hAnsiTheme="majorHAnsi"/>
              </w:rPr>
              <w:t>vem receber aplicação de</w:t>
            </w:r>
            <w:r w:rsidR="00A317D5">
              <w:rPr>
                <w:rFonts w:asciiTheme="majorHAnsi" w:hAnsiTheme="majorHAnsi"/>
              </w:rPr>
              <w:t xml:space="preserve"> Fundo Preparador e</w:t>
            </w:r>
            <w:proofErr w:type="gramStart"/>
            <w:r w:rsidR="00A317D5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 </w:t>
            </w:r>
            <w:proofErr w:type="gramEnd"/>
            <w:r w:rsidRPr="00B36214">
              <w:rPr>
                <w:rFonts w:asciiTheme="majorHAnsi" w:hAnsiTheme="majorHAnsi"/>
              </w:rPr>
              <w:t>Selador Acrílico, a fim de uniformizar a absorção, reduzindo o consumo de tinta e melhorando a aparência e resistência do acabamento. No caso de aplicação sobre superfícies “fracas” – reboco fraco, caiação, pintura qu</w:t>
            </w:r>
            <w:r w:rsidR="00B36214">
              <w:rPr>
                <w:rFonts w:asciiTheme="majorHAnsi" w:hAnsiTheme="majorHAnsi"/>
              </w:rPr>
              <w:t>eimada pelo sol, aplicar</w:t>
            </w:r>
            <w:r w:rsidRPr="00B36214">
              <w:rPr>
                <w:rFonts w:asciiTheme="majorHAnsi" w:hAnsiTheme="majorHAnsi"/>
              </w:rPr>
              <w:t xml:space="preserve"> Fundo Preparador, para torná-las firmes. Sempre que desejado ou necessário nivelar</w:t>
            </w:r>
            <w:r w:rsidR="00B36214">
              <w:rPr>
                <w:rFonts w:asciiTheme="majorHAnsi" w:hAnsiTheme="majorHAnsi"/>
              </w:rPr>
              <w:t xml:space="preserve"> a superfície, utilizar</w:t>
            </w:r>
            <w:r w:rsidRPr="00B36214">
              <w:rPr>
                <w:rFonts w:asciiTheme="majorHAnsi" w:hAnsiTheme="majorHAnsi"/>
              </w:rPr>
              <w:t xml:space="preserve"> Massa Corrida (</w:t>
            </w:r>
            <w:r w:rsidR="009F7F22">
              <w:rPr>
                <w:rFonts w:asciiTheme="majorHAnsi" w:hAnsiTheme="majorHAnsi"/>
              </w:rPr>
              <w:t xml:space="preserve">exterior ou </w:t>
            </w:r>
            <w:r w:rsidRPr="00B36214">
              <w:rPr>
                <w:rFonts w:asciiTheme="majorHAnsi" w:hAnsiTheme="majorHAnsi"/>
              </w:rPr>
              <w:t>interior). Lembrando que a superfície deve estar firme, coesa, limpa, seca, sem poeira, gordura, graxa, sabão ou mofo antes de qualquer aplicação.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D67634" w:rsidRPr="00B36214" w:rsidTr="00127409">
        <w:tc>
          <w:tcPr>
            <w:tcW w:w="4322" w:type="dxa"/>
            <w:vMerge w:val="restart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D67634" w:rsidRPr="00B36214" w:rsidRDefault="00D67634" w:rsidP="00D676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Massa Corrida</w:t>
            </w:r>
            <w:r w:rsidRPr="00D67634">
              <w:rPr>
                <w:rFonts w:asciiTheme="majorHAnsi" w:hAnsiTheme="majorHAnsi"/>
              </w:rPr>
              <w:t>/Acrílica</w:t>
            </w:r>
          </w:p>
        </w:tc>
        <w:tc>
          <w:tcPr>
            <w:tcW w:w="2072" w:type="dxa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20 </w:t>
            </w:r>
            <w:proofErr w:type="gramStart"/>
            <w:r w:rsidRPr="00D67634">
              <w:rPr>
                <w:rFonts w:asciiTheme="majorHAnsi" w:hAnsiTheme="majorHAnsi"/>
              </w:rPr>
              <w:t>à</w:t>
            </w:r>
            <w:proofErr w:type="gramEnd"/>
            <w:r w:rsidRPr="00D67634">
              <w:rPr>
                <w:rFonts w:asciiTheme="majorHAnsi" w:hAnsiTheme="majorHAnsi"/>
              </w:rPr>
              <w:t xml:space="preserve"> 30% 1ª demão/ 10 à 20% demais demãos</w:t>
            </w:r>
          </w:p>
        </w:tc>
      </w:tr>
      <w:tr w:rsidR="00D67634" w:rsidRPr="00B36214" w:rsidTr="00127409">
        <w:tc>
          <w:tcPr>
            <w:tcW w:w="4322" w:type="dxa"/>
            <w:vMerge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</w:t>
            </w:r>
          </w:p>
        </w:tc>
        <w:tc>
          <w:tcPr>
            <w:tcW w:w="2072" w:type="dxa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10 </w:t>
            </w:r>
            <w:proofErr w:type="gramStart"/>
            <w:r w:rsidRPr="00D67634">
              <w:rPr>
                <w:rFonts w:asciiTheme="majorHAnsi" w:hAnsiTheme="majorHAnsi"/>
              </w:rPr>
              <w:t>à</w:t>
            </w:r>
            <w:proofErr w:type="gramEnd"/>
            <w:r w:rsidRPr="00D67634">
              <w:rPr>
                <w:rFonts w:asciiTheme="majorHAnsi" w:hAnsiTheme="majorHAnsi"/>
              </w:rPr>
              <w:t xml:space="preserve"> 20% em todas as demãos</w:t>
            </w:r>
          </w:p>
        </w:tc>
      </w:tr>
      <w:tr w:rsidR="00D67634" w:rsidRPr="00B36214" w:rsidTr="00127409">
        <w:tc>
          <w:tcPr>
            <w:tcW w:w="4322" w:type="dxa"/>
            <w:vMerge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Reboco, Concreto e </w:t>
            </w:r>
            <w:proofErr w:type="gramStart"/>
            <w:r w:rsidRPr="00D67634">
              <w:rPr>
                <w:rFonts w:asciiTheme="majorHAnsi" w:hAnsiTheme="majorHAnsi"/>
              </w:rPr>
              <w:t>Gesso</w:t>
            </w:r>
            <w:proofErr w:type="gramEnd"/>
          </w:p>
        </w:tc>
        <w:tc>
          <w:tcPr>
            <w:tcW w:w="2072" w:type="dxa"/>
          </w:tcPr>
          <w:p w:rsidR="00D67634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20 </w:t>
            </w:r>
            <w:proofErr w:type="gramStart"/>
            <w:r w:rsidRPr="00D67634">
              <w:rPr>
                <w:rFonts w:asciiTheme="majorHAnsi" w:hAnsiTheme="majorHAnsi"/>
              </w:rPr>
              <w:t>à</w:t>
            </w:r>
            <w:proofErr w:type="gramEnd"/>
            <w:r w:rsidRPr="00D67634">
              <w:rPr>
                <w:rFonts w:asciiTheme="majorHAnsi" w:hAnsiTheme="majorHAnsi"/>
              </w:rPr>
              <w:t xml:space="preserve"> 30% 1ª demão/ 10 à 20% demais demãos</w:t>
            </w:r>
          </w:p>
        </w:tc>
      </w:tr>
      <w:tr w:rsidR="00B346D5" w:rsidRPr="00B36214" w:rsidTr="00127409">
        <w:tc>
          <w:tcPr>
            <w:tcW w:w="4322" w:type="dxa"/>
            <w:vMerge w:val="restart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B346D5" w:rsidRPr="00B36214" w:rsidRDefault="00D67634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Massa Corrida/</w:t>
            </w:r>
            <w:r w:rsidRPr="00D67634">
              <w:rPr>
                <w:rFonts w:asciiTheme="majorHAnsi" w:hAnsiTheme="majorHAnsi"/>
              </w:rPr>
              <w:t>Acrílica</w:t>
            </w:r>
          </w:p>
        </w:tc>
        <w:tc>
          <w:tcPr>
            <w:tcW w:w="2072" w:type="dxa"/>
          </w:tcPr>
          <w:p w:rsidR="00B346D5" w:rsidRPr="00B36214" w:rsidRDefault="00485409" w:rsidP="00D676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Até 50</w:t>
            </w:r>
            <w:r w:rsidR="00D67634">
              <w:rPr>
                <w:rFonts w:asciiTheme="majorHAnsi" w:hAnsiTheme="majorHAnsi"/>
              </w:rPr>
              <w:t xml:space="preserve"> m²</w:t>
            </w:r>
            <w:r w:rsidR="00D67634" w:rsidRPr="00D67634">
              <w:rPr>
                <w:rFonts w:asciiTheme="majorHAnsi" w:hAnsiTheme="majorHAnsi"/>
              </w:rPr>
              <w:t>/ galão / demão</w:t>
            </w:r>
          </w:p>
        </w:tc>
      </w:tr>
      <w:tr w:rsidR="00B346D5" w:rsidRPr="00B36214" w:rsidTr="00127409">
        <w:tc>
          <w:tcPr>
            <w:tcW w:w="4322" w:type="dxa"/>
            <w:vMerge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</w:t>
            </w:r>
          </w:p>
        </w:tc>
        <w:tc>
          <w:tcPr>
            <w:tcW w:w="2072" w:type="dxa"/>
          </w:tcPr>
          <w:p w:rsidR="00B346D5" w:rsidRPr="00B36214" w:rsidRDefault="00485409" w:rsidP="00B362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Até 50</w:t>
            </w:r>
            <w:r w:rsidR="00D67634">
              <w:rPr>
                <w:rFonts w:asciiTheme="majorHAnsi" w:hAnsiTheme="majorHAnsi"/>
              </w:rPr>
              <w:t xml:space="preserve"> m²</w:t>
            </w:r>
            <w:r w:rsidR="00D67634" w:rsidRPr="00D67634">
              <w:rPr>
                <w:rFonts w:asciiTheme="majorHAnsi" w:hAnsiTheme="majorHAnsi"/>
              </w:rPr>
              <w:t xml:space="preserve"> / galão / demão</w:t>
            </w:r>
          </w:p>
        </w:tc>
      </w:tr>
      <w:tr w:rsidR="00D67634" w:rsidRPr="00B36214" w:rsidTr="00127409">
        <w:tc>
          <w:tcPr>
            <w:tcW w:w="4322" w:type="dxa"/>
          </w:tcPr>
          <w:p w:rsidR="00D67634" w:rsidRPr="00B36214" w:rsidRDefault="00D67634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67634" w:rsidRPr="00B36214" w:rsidRDefault="00D67634" w:rsidP="00127409">
            <w:pPr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Reboco, Concreto e </w:t>
            </w:r>
            <w:proofErr w:type="gramStart"/>
            <w:r w:rsidRPr="00D67634">
              <w:rPr>
                <w:rFonts w:asciiTheme="majorHAnsi" w:hAnsiTheme="majorHAnsi"/>
              </w:rPr>
              <w:t>Gesso</w:t>
            </w:r>
            <w:proofErr w:type="gramEnd"/>
          </w:p>
        </w:tc>
        <w:tc>
          <w:tcPr>
            <w:tcW w:w="2072" w:type="dxa"/>
          </w:tcPr>
          <w:p w:rsidR="00D67634" w:rsidRPr="00B36214" w:rsidRDefault="00485409" w:rsidP="00715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Até 50</w:t>
            </w:r>
            <w:r w:rsidR="00715A34">
              <w:rPr>
                <w:rFonts w:asciiTheme="majorHAnsi" w:hAnsiTheme="majorHAnsi"/>
              </w:rPr>
              <w:t xml:space="preserve"> m²</w:t>
            </w:r>
            <w:r w:rsidR="00715A34" w:rsidRPr="00715A34">
              <w:rPr>
                <w:rFonts w:asciiTheme="majorHAnsi" w:hAnsiTheme="majorHAnsi"/>
              </w:rPr>
              <w:t>/ galão / 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346D5" w:rsidRPr="00B36214" w:rsidRDefault="00715A34" w:rsidP="00127409">
            <w:pPr>
              <w:rPr>
                <w:rFonts w:asciiTheme="majorHAnsi" w:hAnsiTheme="majorHAnsi"/>
              </w:rPr>
            </w:pPr>
            <w:r w:rsidRPr="00715A34">
              <w:rPr>
                <w:rFonts w:asciiTheme="majorHAnsi" w:hAnsiTheme="majorHAnsi"/>
              </w:rPr>
              <w:t>Duas a três demãos com intervalos de 4 horas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Rolo de lã, pincel ou trincha e pistola.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Secagem</w:t>
            </w:r>
          </w:p>
        </w:tc>
        <w:tc>
          <w:tcPr>
            <w:tcW w:w="4322" w:type="dxa"/>
            <w:gridSpan w:val="2"/>
          </w:tcPr>
          <w:p w:rsidR="00B346D5" w:rsidRPr="00B36214" w:rsidRDefault="00715A34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346D5" w:rsidRPr="00B36214">
              <w:rPr>
                <w:rFonts w:asciiTheme="majorHAnsi" w:hAnsiTheme="majorHAnsi"/>
              </w:rPr>
              <w:t xml:space="preserve"> hora ao toque/ 12 horas final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Limpeza / Manutenção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Lavar com água e detergente neutro esfregando suavemente com pano/esponja macia</w:t>
            </w:r>
          </w:p>
        </w:tc>
      </w:tr>
      <w:tr w:rsidR="00B346D5" w:rsidRPr="00B36214" w:rsidTr="00800DFA">
        <w:tc>
          <w:tcPr>
            <w:tcW w:w="8644" w:type="dxa"/>
            <w:gridSpan w:val="3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00DFA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</w:t>
            </w:r>
            <w:r w:rsidR="00A317D5">
              <w:rPr>
                <w:rFonts w:asciiTheme="majorHAnsi" w:hAnsiTheme="majorHAnsi"/>
              </w:rPr>
              <w:t>es soltas, aplicar uma demão de</w:t>
            </w:r>
            <w:r w:rsidRPr="00ED77C3">
              <w:rPr>
                <w:rFonts w:asciiTheme="majorHAnsi" w:hAnsiTheme="majorHAnsi"/>
              </w:rPr>
              <w:t xml:space="preserve">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É característica de alguns produtos </w:t>
            </w:r>
            <w:proofErr w:type="gramStart"/>
            <w:r w:rsidRPr="00B36214">
              <w:rPr>
                <w:rFonts w:asciiTheme="majorHAnsi" w:hAnsiTheme="majorHAnsi"/>
              </w:rPr>
              <w:t>apresentar</w:t>
            </w:r>
            <w:proofErr w:type="gramEnd"/>
            <w:r w:rsidRPr="00B36214">
              <w:rPr>
                <w:rFonts w:asciiTheme="majorHAnsi" w:hAnsiTheme="majorHAnsi"/>
              </w:rPr>
              <w:t xml:space="preserve"> ligeiro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Pr="00B36214">
              <w:rPr>
                <w:rFonts w:asciiTheme="majorHAnsi" w:hAnsiTheme="majorHAnsi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secagem;</w:t>
            </w:r>
            <w:r w:rsidR="00ED77C3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Recomendamos usar óculos de segurança, luvas e máscara protetora; Em caso de contato com a pele e olhos, lavar com água potável corrente por 15 min; Em caso de inalação, afastar-se do </w:t>
            </w:r>
            <w:r w:rsidRPr="00B36214">
              <w:rPr>
                <w:rFonts w:asciiTheme="majorHAnsi" w:hAnsiTheme="majorHAnsi"/>
              </w:rPr>
              <w:lastRenderedPageBreak/>
              <w:t xml:space="preserve">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3B" w:rsidRDefault="006D683B" w:rsidP="00700ECF">
      <w:pPr>
        <w:spacing w:after="0" w:line="240" w:lineRule="auto"/>
      </w:pPr>
      <w:r>
        <w:separator/>
      </w:r>
    </w:p>
  </w:endnote>
  <w:endnote w:type="continuationSeparator" w:id="0">
    <w:p w:rsidR="006D683B" w:rsidRDefault="006D683B" w:rsidP="0070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3B" w:rsidRDefault="006D683B" w:rsidP="00700ECF">
      <w:pPr>
        <w:spacing w:after="0" w:line="240" w:lineRule="auto"/>
      </w:pPr>
      <w:r>
        <w:separator/>
      </w:r>
    </w:p>
  </w:footnote>
  <w:footnote w:type="continuationSeparator" w:id="0">
    <w:p w:rsidR="006D683B" w:rsidRDefault="006D683B" w:rsidP="0070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CF" w:rsidRDefault="00700ECF" w:rsidP="00700ECF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41BF0C9F" wp14:editId="59541164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ECF" w:rsidRPr="0030118B" w:rsidRDefault="00700ECF" w:rsidP="00700ECF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700ECF" w:rsidRPr="0030118B" w:rsidRDefault="00700ECF" w:rsidP="00700ECF">
    <w:pPr>
      <w:pStyle w:val="Cabealho"/>
      <w:jc w:val="center"/>
      <w:rPr>
        <w:rFonts w:ascii="Arial" w:hAnsi="Arial" w:cs="Arial"/>
      </w:rPr>
    </w:pPr>
  </w:p>
  <w:p w:rsidR="00700ECF" w:rsidRPr="0030118B" w:rsidRDefault="00700ECF" w:rsidP="00700ECF">
    <w:pPr>
      <w:pStyle w:val="Cabealho"/>
      <w:jc w:val="center"/>
      <w:rPr>
        <w:rFonts w:ascii="Arial" w:hAnsi="Arial" w:cs="Arial"/>
      </w:rPr>
    </w:pPr>
    <w:r w:rsidRPr="0030118B">
      <w:rPr>
        <w:rFonts w:ascii="Arial" w:hAnsi="Arial" w:cs="Arial"/>
      </w:rPr>
      <w:t>CNPJ:</w:t>
    </w:r>
    <w:r>
      <w:rPr>
        <w:rFonts w:ascii="Arial" w:hAnsi="Arial" w:cs="Arial"/>
      </w:rPr>
      <w:t xml:space="preserve"> </w:t>
    </w:r>
    <w:r w:rsidRPr="0030118B">
      <w:rPr>
        <w:rFonts w:ascii="Arial" w:hAnsi="Arial" w:cs="Arial"/>
      </w:rPr>
      <w:t>10.651.567/0001-81</w:t>
    </w:r>
  </w:p>
  <w:p w:rsidR="00700ECF" w:rsidRPr="0030118B" w:rsidRDefault="00700ECF" w:rsidP="00700ECF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700ECF" w:rsidRPr="0030118B" w:rsidRDefault="00700ECF" w:rsidP="00700ECF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700ECF" w:rsidRDefault="00700E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02510"/>
    <w:rsid w:val="000D09BE"/>
    <w:rsid w:val="00127409"/>
    <w:rsid w:val="001C0B1B"/>
    <w:rsid w:val="00217D26"/>
    <w:rsid w:val="002665FB"/>
    <w:rsid w:val="003A07E1"/>
    <w:rsid w:val="003D5ABE"/>
    <w:rsid w:val="00423281"/>
    <w:rsid w:val="00485409"/>
    <w:rsid w:val="00564FDB"/>
    <w:rsid w:val="00575554"/>
    <w:rsid w:val="00592E68"/>
    <w:rsid w:val="005B6FD3"/>
    <w:rsid w:val="0063516C"/>
    <w:rsid w:val="00661790"/>
    <w:rsid w:val="006D683B"/>
    <w:rsid w:val="00700ECF"/>
    <w:rsid w:val="00715A34"/>
    <w:rsid w:val="00800DFA"/>
    <w:rsid w:val="0085002E"/>
    <w:rsid w:val="0097572C"/>
    <w:rsid w:val="009F7F22"/>
    <w:rsid w:val="00A317D5"/>
    <w:rsid w:val="00B346D5"/>
    <w:rsid w:val="00B36214"/>
    <w:rsid w:val="00B4211C"/>
    <w:rsid w:val="00D67634"/>
    <w:rsid w:val="00ED77C3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ECF"/>
  </w:style>
  <w:style w:type="paragraph" w:styleId="Rodap">
    <w:name w:val="footer"/>
    <w:basedOn w:val="Normal"/>
    <w:link w:val="RodapChar"/>
    <w:uiPriority w:val="99"/>
    <w:unhideWhenUsed/>
    <w:rsid w:val="0070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ECF"/>
  </w:style>
  <w:style w:type="paragraph" w:styleId="Textodebalo">
    <w:name w:val="Balloon Text"/>
    <w:basedOn w:val="Normal"/>
    <w:link w:val="TextodebaloChar"/>
    <w:uiPriority w:val="99"/>
    <w:semiHidden/>
    <w:unhideWhenUsed/>
    <w:rsid w:val="007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ECF"/>
  </w:style>
  <w:style w:type="paragraph" w:styleId="Rodap">
    <w:name w:val="footer"/>
    <w:basedOn w:val="Normal"/>
    <w:link w:val="RodapChar"/>
    <w:uiPriority w:val="99"/>
    <w:unhideWhenUsed/>
    <w:rsid w:val="0070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ECF"/>
  </w:style>
  <w:style w:type="paragraph" w:styleId="Textodebalo">
    <w:name w:val="Balloon Text"/>
    <w:basedOn w:val="Normal"/>
    <w:link w:val="TextodebaloChar"/>
    <w:uiPriority w:val="99"/>
    <w:semiHidden/>
    <w:unhideWhenUsed/>
    <w:rsid w:val="007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2022-04-11T17:19:00Z</dcterms:created>
  <dcterms:modified xsi:type="dcterms:W3CDTF">2022-04-11T17:19:00Z</dcterms:modified>
</cp:coreProperties>
</file>