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5" w:rsidRDefault="001B61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DC89C3B" wp14:editId="441E6A89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1B6185" w:rsidRDefault="008F1159" w:rsidP="008F1159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REVESTIMENTO ACRÍLICO FULGET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1B6185" w:rsidRDefault="00220E9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pedras coloridas naturais</w:t>
            </w:r>
            <w:r w:rsidR="00C66291">
              <w:rPr>
                <w:rFonts w:ascii="Cambria" w:eastAsia="Cambria" w:hAnsi="Cambria" w:cs="Cambria"/>
              </w:rPr>
              <w:t xml:space="preserve"> que criam efeitos rústicos.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 w:rsidR="008F1159">
              <w:rPr>
                <w:rFonts w:ascii="Cambria" w:eastAsia="Cambria" w:hAnsi="Cambria" w:cs="Cambria"/>
              </w:rPr>
              <w:t xml:space="preserve"> pisos de concreto rústico.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1B6185" w:rsidRDefault="008F1159" w:rsidP="008F115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Sua textura com pedras naturais confere ótimo acabamento e resistência</w:t>
            </w:r>
            <w:r w:rsidR="00C66291">
              <w:rPr>
                <w:rFonts w:ascii="Cambria" w:eastAsia="Cambria" w:hAnsi="Cambria" w:cs="Cambria"/>
              </w:rPr>
              <w:t>.  Fácil aplicação, boa aderência e ótima homogeneidade.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ou umidade relativa maior</w:t>
            </w:r>
            <w:r w:rsidR="00DC14C9">
              <w:rPr>
                <w:rFonts w:ascii="Cambria" w:eastAsia="Cambria" w:hAnsi="Cambria" w:cs="Cambria"/>
              </w:rPr>
              <w:t xml:space="preserve"> que 85%. Não aplicar em pisos</w:t>
            </w:r>
            <w:r>
              <w:rPr>
                <w:rFonts w:ascii="Cambria" w:eastAsia="Cambria" w:hAnsi="Cambria" w:cs="Cambria"/>
              </w:rPr>
              <w:t xml:space="preserve"> com incidência direta de </w:t>
            </w:r>
            <w:r w:rsidR="00DC14C9">
              <w:rPr>
                <w:rFonts w:ascii="Cambria" w:eastAsia="Cambria" w:hAnsi="Cambria" w:cs="Cambria"/>
              </w:rPr>
              <w:t>sol, dar preferência ás áreas</w:t>
            </w:r>
            <w:r>
              <w:rPr>
                <w:rFonts w:ascii="Cambria" w:eastAsia="Cambria" w:hAnsi="Cambria" w:cs="Cambria"/>
              </w:rPr>
              <w:t xml:space="preserve"> com sombra.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 – 9,5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Acabamento)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Prazo de Validade (embalagem fechada e sem uso)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1B6185">
        <w:tc>
          <w:tcPr>
            <w:tcW w:w="8644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 e acabamentos) de acordo com as instruções contidas na embalagem/boletim.  Seguir todas as informações do boletim técnico para um acabamento correto.</w:t>
            </w:r>
          </w:p>
        </w:tc>
      </w:tr>
    </w:tbl>
    <w:p w:rsidR="001B6185" w:rsidRDefault="001B6185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B6185" w:rsidRDefault="00C66291" w:rsidP="00AD333F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</w:t>
            </w:r>
            <w:r w:rsidR="00866DED">
              <w:rPr>
                <w:rFonts w:ascii="Cambria" w:eastAsia="Cambria" w:hAnsi="Cambria" w:cs="Cambria"/>
              </w:rPr>
              <w:t xml:space="preserve"> Fundo Preparador Acrílico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</w:t>
            </w:r>
            <w:r w:rsidR="00AD333F">
              <w:rPr>
                <w:rFonts w:ascii="Cambria" w:eastAsia="Cambria" w:hAnsi="Cambria" w:cs="Cambria"/>
              </w:rPr>
              <w:t xml:space="preserve">bamento. </w:t>
            </w:r>
            <w:r>
              <w:rPr>
                <w:rFonts w:ascii="Cambria" w:eastAsia="Cambria" w:hAnsi="Cambria" w:cs="Cambria"/>
              </w:rPr>
              <w:t>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1B6185">
        <w:trPr>
          <w:trHeight w:val="1290"/>
        </w:trPr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1B6185" w:rsidRDefault="00AD333F" w:rsidP="00AD333F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Piso de concreto.</w:t>
            </w:r>
          </w:p>
        </w:tc>
        <w:tc>
          <w:tcPr>
            <w:tcW w:w="2072" w:type="dxa"/>
          </w:tcPr>
          <w:p w:rsidR="001B6185" w:rsidRDefault="00DC14C9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4</w:t>
            </w:r>
            <w:proofErr w:type="gramEnd"/>
            <w:r>
              <w:rPr>
                <w:rFonts w:ascii="Cambria" w:eastAsia="Cambria" w:hAnsi="Cambria" w:cs="Cambria"/>
              </w:rPr>
              <w:t xml:space="preserve"> m2</w:t>
            </w:r>
            <w:r w:rsidR="00C66291">
              <w:rPr>
                <w:rFonts w:ascii="Cambria" w:eastAsia="Cambria" w:hAnsi="Cambria" w:cs="Cambria"/>
              </w:rPr>
              <w:t>/ lata de 25 kg / demão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Uma </w:t>
            </w:r>
            <w:r w:rsidR="00DC14C9">
              <w:rPr>
                <w:rFonts w:ascii="Cambria" w:eastAsia="Cambria" w:hAnsi="Cambria" w:cs="Cambria"/>
              </w:rPr>
              <w:t xml:space="preserve">a </w:t>
            </w:r>
            <w:proofErr w:type="gramStart"/>
            <w:r w:rsidR="00DC14C9">
              <w:rPr>
                <w:rFonts w:ascii="Cambria" w:eastAsia="Cambria" w:hAnsi="Cambria" w:cs="Cambria"/>
              </w:rPr>
              <w:t>2</w:t>
            </w:r>
            <w:proofErr w:type="gramEnd"/>
            <w:r w:rsidR="00DC14C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demão</w:t>
            </w:r>
            <w:r w:rsidR="00DC14C9">
              <w:rPr>
                <w:rFonts w:ascii="Cambria" w:eastAsia="Cambria" w:hAnsi="Cambria" w:cs="Cambria"/>
              </w:rPr>
              <w:t>s</w:t>
            </w:r>
          </w:p>
        </w:tc>
      </w:tr>
      <w:tr w:rsidR="001B6185">
        <w:tc>
          <w:tcPr>
            <w:tcW w:w="4322" w:type="dxa"/>
            <w:vMerge w:val="restart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1B6185" w:rsidRDefault="00AD333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o piso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1B6185">
        <w:tc>
          <w:tcPr>
            <w:tcW w:w="4322" w:type="dxa"/>
            <w:vMerge/>
          </w:tcPr>
          <w:p w:rsidR="001B6185" w:rsidRDefault="001B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1B6185" w:rsidRDefault="008760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Ao toque 6 horas/ Cura total 7 dias</w:t>
            </w:r>
            <w:r w:rsidR="00907FD4">
              <w:rPr>
                <w:rFonts w:ascii="Cambria" w:eastAsia="Cambria" w:hAnsi="Cambria" w:cs="Cambria"/>
              </w:rPr>
              <w:t>, tempo seco.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Na preparação das superfícies, partes soltas ou mal aderidas, devem ser eliminadas,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raspando, lixando ou escovando a superfície.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lastRenderedPageBreak/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secagem;</w:t>
            </w:r>
            <w:proofErr w:type="gramEnd"/>
            <w:r>
              <w:rPr>
                <w:rFonts w:ascii="Cambria" w:eastAsia="Cambria" w:hAnsi="Cambria" w:cs="Cambria"/>
              </w:rPr>
              <w:t>Recomendamos</w:t>
            </w:r>
            <w:proofErr w:type="spellEnd"/>
            <w:r>
              <w:rPr>
                <w:rFonts w:ascii="Cambria" w:eastAsia="Cambria" w:hAnsi="Cambria" w:cs="Cambria"/>
              </w:rPr>
              <w:t xml:space="preserve">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 transporte do produto deverá ser realizado de forma que ele fique em pé e coberto </w:t>
            </w:r>
            <w:r>
              <w:rPr>
                <w:rFonts w:ascii="Cambria" w:eastAsia="Cambria" w:hAnsi="Cambria" w:cs="Cambria"/>
              </w:rPr>
              <w:lastRenderedPageBreak/>
              <w:t xml:space="preserve">durante todo o percurso.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1B6185" w:rsidRDefault="001B6185"/>
    <w:sectPr w:rsidR="001B618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2" w:rsidRDefault="00C82522">
      <w:pPr>
        <w:spacing w:after="0" w:line="240" w:lineRule="auto"/>
      </w:pPr>
      <w:r>
        <w:separator/>
      </w:r>
    </w:p>
  </w:endnote>
  <w:endnote w:type="continuationSeparator" w:id="0">
    <w:p w:rsidR="00C82522" w:rsidRDefault="00C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2" w:rsidRDefault="00C82522">
      <w:pPr>
        <w:spacing w:after="0" w:line="240" w:lineRule="auto"/>
      </w:pPr>
      <w:r>
        <w:separator/>
      </w:r>
    </w:p>
  </w:footnote>
  <w:footnote w:type="continuationSeparator" w:id="0">
    <w:p w:rsidR="00C82522" w:rsidRDefault="00C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B2B"/>
    <w:multiLevelType w:val="multilevel"/>
    <w:tmpl w:val="CA50F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5D0269"/>
    <w:multiLevelType w:val="multilevel"/>
    <w:tmpl w:val="48D0C1B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647EB7"/>
    <w:multiLevelType w:val="multilevel"/>
    <w:tmpl w:val="0C06B1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185"/>
    <w:rsid w:val="001B6185"/>
    <w:rsid w:val="00220E94"/>
    <w:rsid w:val="0027212F"/>
    <w:rsid w:val="004C4BB3"/>
    <w:rsid w:val="005735DF"/>
    <w:rsid w:val="005B64AA"/>
    <w:rsid w:val="00843B9B"/>
    <w:rsid w:val="00866DED"/>
    <w:rsid w:val="0087606B"/>
    <w:rsid w:val="008F1159"/>
    <w:rsid w:val="00907FD4"/>
    <w:rsid w:val="00AD333F"/>
    <w:rsid w:val="00C66291"/>
    <w:rsid w:val="00C82522"/>
    <w:rsid w:val="00D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yS8+4mBceL9cK14px5Rp4d+Rg==">AMUW2mVueMJYKXQyt9WXmWaX8L4Cvhs2Fct5Mb4aZaSnXgfBSGPyt6i6YIt/yyZ8p7/8bAKEmFB8LZl9KFmFy0PtOvOgSfqC7SnhhhzSRYaoMcLKkLtURHVSvSMGEKJu5Y6IXWh9/uWI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2022-04-11T18:59:00Z</dcterms:created>
  <dcterms:modified xsi:type="dcterms:W3CDTF">2022-04-11T18:59:00Z</dcterms:modified>
</cp:coreProperties>
</file>