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BF1BC4">
        <w:tc>
          <w:tcPr>
            <w:tcW w:w="8644" w:type="dxa"/>
            <w:gridSpan w:val="2"/>
            <w:shd w:val="clear" w:color="auto" w:fill="FFFF00"/>
          </w:tcPr>
          <w:p w:rsidR="001C0B1B" w:rsidRPr="00ED77C3" w:rsidRDefault="002665FB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BF1BC4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D27F6F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                                        </w:t>
            </w:r>
            <w:r w:rsidR="00D27F6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F76F33A" wp14:editId="315DCCF7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4F5984" w:rsidRDefault="007852C1" w:rsidP="00D67634">
            <w:pPr>
              <w:jc w:val="both"/>
              <w:rPr>
                <w:rFonts w:asciiTheme="majorHAnsi" w:hAnsiTheme="majorHAnsi"/>
                <w:b/>
              </w:rPr>
            </w:pPr>
            <w:r w:rsidRPr="004F5984">
              <w:rPr>
                <w:rFonts w:asciiTheme="majorHAnsi" w:hAnsiTheme="majorHAnsi"/>
                <w:b/>
              </w:rPr>
              <w:t>SELADOR ACRÍLICO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Norma ABNT NBR 11702 – Tipo 4.1.6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7852C1" w:rsidP="002665FB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É um complemento acrílico para paredes internas e externas de reboco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7852C1" w:rsidP="007852C1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É indicado para selar e uniformizar a absorção das superfícies novas externas e internas de reboco, blocos de concreto, concreto aparente, fibrocimento e massa fina.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7852C1" w:rsidP="007F3379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Utilizado como primeira de</w:t>
            </w:r>
            <w:r>
              <w:rPr>
                <w:rFonts w:asciiTheme="majorHAnsi" w:hAnsiTheme="majorHAnsi"/>
              </w:rPr>
              <w:t>mão em superfícies não seladas,</w:t>
            </w:r>
            <w:r w:rsidR="007F3379">
              <w:rPr>
                <w:rFonts w:asciiTheme="majorHAnsi" w:hAnsiTheme="majorHAnsi"/>
              </w:rPr>
              <w:t xml:space="preserve"> </w:t>
            </w:r>
            <w:r w:rsidRPr="007852C1">
              <w:rPr>
                <w:rFonts w:asciiTheme="majorHAnsi" w:hAnsiTheme="majorHAnsi"/>
              </w:rPr>
              <w:t>proporciona uniformidade na absorção, fácil de aplicar e devido ao seu alto poder de enchimento, diminui a porosidade do substrato proporcionando maior rendimento dos produtos de acabamento.</w:t>
            </w:r>
          </w:p>
        </w:tc>
      </w:tr>
      <w:tr w:rsidR="001C0B1B" w:rsidRPr="00B36214" w:rsidTr="00BF1BC4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BF1BC4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Não aplicável por se tratar de um produto de fundo que receberá acabamento.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D67634" w:rsidP="00ED77C3">
            <w:pPr>
              <w:jc w:val="both"/>
              <w:rPr>
                <w:rFonts w:asciiTheme="majorHAnsi" w:hAnsiTheme="majorHAnsi"/>
              </w:rPr>
            </w:pPr>
            <w:r w:rsidRPr="00D67634">
              <w:rPr>
                <w:rFonts w:asciiTheme="majorHAnsi" w:hAnsiTheme="majorHAnsi"/>
              </w:rPr>
              <w:t xml:space="preserve">Resistente à </w:t>
            </w:r>
            <w:proofErr w:type="spellStart"/>
            <w:r w:rsidRPr="00D67634">
              <w:rPr>
                <w:rFonts w:asciiTheme="majorHAnsi" w:hAnsiTheme="majorHAnsi"/>
              </w:rPr>
              <w:t>lavabilidade</w:t>
            </w:r>
            <w:proofErr w:type="spellEnd"/>
            <w:r w:rsidRPr="00D67634">
              <w:rPr>
                <w:rFonts w:asciiTheme="majorHAnsi" w:hAnsiTheme="majorHAnsi"/>
              </w:rPr>
              <w:t xml:space="preserve"> (norma NBR 14940).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Sais</w:t>
            </w:r>
          </w:p>
        </w:tc>
        <w:tc>
          <w:tcPr>
            <w:tcW w:w="4519" w:type="dxa"/>
          </w:tcPr>
          <w:p w:rsidR="001C0B1B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Não aplicar sobre reboco com menos de 28 dias de cura.</w:t>
            </w:r>
          </w:p>
        </w:tc>
      </w:tr>
      <w:tr w:rsidR="00B36214" w:rsidRPr="00B36214" w:rsidTr="00BF1BC4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1BC4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7852C1" w:rsidP="007852C1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 xml:space="preserve">Resina à base de dispersão aquosa de copolímero estireno acrílico, pigmentos isentos de metais pesados, cargas minerais inertes, hidrocarbonetos alifáticos, glicóis e </w:t>
            </w:r>
            <w:proofErr w:type="spellStart"/>
            <w:r w:rsidRPr="007852C1">
              <w:rPr>
                <w:rFonts w:asciiTheme="majorHAnsi" w:hAnsiTheme="majorHAnsi"/>
              </w:rPr>
              <w:t>tensoativos</w:t>
            </w:r>
            <w:proofErr w:type="spellEnd"/>
            <w:r w:rsidRPr="007852C1">
              <w:rPr>
                <w:rFonts w:asciiTheme="majorHAnsi" w:hAnsiTheme="majorHAnsi"/>
              </w:rPr>
              <w:t xml:space="preserve"> </w:t>
            </w:r>
            <w:proofErr w:type="spellStart"/>
            <w:r w:rsidRPr="007852C1">
              <w:rPr>
                <w:rFonts w:asciiTheme="majorHAnsi" w:hAnsiTheme="majorHAnsi"/>
              </w:rPr>
              <w:t>etoxilados</w:t>
            </w:r>
            <w:proofErr w:type="spellEnd"/>
            <w:r w:rsidRPr="007852C1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3,6</w:t>
            </w:r>
            <w:r w:rsidR="00564FDB">
              <w:rPr>
                <w:rFonts w:asciiTheme="majorHAnsi" w:hAnsiTheme="majorHAnsi"/>
              </w:rPr>
              <w:t>L</w:t>
            </w:r>
            <w:r w:rsidRPr="00B36214">
              <w:rPr>
                <w:rFonts w:asciiTheme="majorHAnsi" w:hAnsiTheme="majorHAnsi"/>
              </w:rPr>
              <w:t xml:space="preserve"> 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VOC – Compostos Orgânicos Voláteis (% dos compostos que evaporam com exceção da água)</w:t>
            </w:r>
          </w:p>
        </w:tc>
        <w:tc>
          <w:tcPr>
            <w:tcW w:w="4519" w:type="dxa"/>
          </w:tcPr>
          <w:p w:rsidR="00127409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5,0 g/ L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4F00C7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4F00C7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4F00C7" w:rsidRPr="00D6763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62,10 – 64,10 %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produto)</w:t>
            </w:r>
          </w:p>
        </w:tc>
        <w:tc>
          <w:tcPr>
            <w:tcW w:w="4519" w:type="dxa"/>
          </w:tcPr>
          <w:p w:rsidR="004F00C7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1,60 – 1,64 g/cm³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lastRenderedPageBreak/>
              <w:t>pH</w:t>
            </w:r>
            <w:proofErr w:type="gramEnd"/>
            <w:r w:rsidRPr="00B36214">
              <w:rPr>
                <w:rFonts w:asciiTheme="majorHAnsi" w:hAnsiTheme="majorHAnsi"/>
              </w:rPr>
              <w:t xml:space="preserve"> - valores maiores que 7 (alcalinos), menores que 7 (ácidos) e iguais a 7 (neutros)</w:t>
            </w:r>
          </w:p>
        </w:tc>
        <w:tc>
          <w:tcPr>
            <w:tcW w:w="4519" w:type="dxa"/>
          </w:tcPr>
          <w:p w:rsidR="004F00C7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8,80 – 9,80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Brilho (acabamento)</w:t>
            </w:r>
          </w:p>
        </w:tc>
        <w:tc>
          <w:tcPr>
            <w:tcW w:w="4519" w:type="dxa"/>
          </w:tcPr>
          <w:p w:rsidR="004F00C7" w:rsidRPr="00B36214" w:rsidRDefault="007852C1" w:rsidP="00ED77C3">
            <w:pPr>
              <w:jc w:val="both"/>
              <w:rPr>
                <w:rFonts w:asciiTheme="majorHAnsi" w:hAnsiTheme="majorHAnsi"/>
              </w:rPr>
            </w:pPr>
            <w:r w:rsidRPr="007852C1">
              <w:rPr>
                <w:rFonts w:asciiTheme="majorHAnsi" w:hAnsiTheme="majorHAnsi"/>
              </w:rPr>
              <w:t>Não aplicável</w:t>
            </w:r>
          </w:p>
        </w:tc>
      </w:tr>
      <w:tr w:rsidR="004F00C7" w:rsidRPr="00B36214" w:rsidTr="001C0B1B">
        <w:tc>
          <w:tcPr>
            <w:tcW w:w="4125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4F00C7" w:rsidRPr="00B36214" w:rsidRDefault="004F00C7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4F00C7" w:rsidRPr="00B36214" w:rsidTr="00BF1BC4">
        <w:tc>
          <w:tcPr>
            <w:tcW w:w="8644" w:type="dxa"/>
            <w:gridSpan w:val="2"/>
            <w:shd w:val="clear" w:color="auto" w:fill="FFFF00"/>
          </w:tcPr>
          <w:p w:rsidR="004F00C7" w:rsidRPr="00B36214" w:rsidRDefault="004F00C7" w:rsidP="004F00C7">
            <w:pPr>
              <w:jc w:val="center"/>
              <w:rPr>
                <w:rFonts w:asciiTheme="majorHAnsi" w:hAnsiTheme="majorHAnsi"/>
              </w:rPr>
            </w:pPr>
            <w:r w:rsidRPr="00BF1BC4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CONDIÇÕES DE ASSEGURIDADE</w:t>
            </w:r>
          </w:p>
        </w:tc>
      </w:tr>
      <w:tr w:rsidR="004F00C7" w:rsidRPr="00B36214" w:rsidTr="003C1A0D">
        <w:tc>
          <w:tcPr>
            <w:tcW w:w="8644" w:type="dxa"/>
            <w:gridSpan w:val="2"/>
          </w:tcPr>
          <w:p w:rsidR="004F00C7" w:rsidRPr="00661790" w:rsidRDefault="004F00C7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15"/>
        <w:gridCol w:w="2057"/>
      </w:tblGrid>
      <w:tr w:rsidR="00127409" w:rsidRPr="00B36214" w:rsidTr="00BF1BC4">
        <w:tc>
          <w:tcPr>
            <w:tcW w:w="8644" w:type="dxa"/>
            <w:gridSpan w:val="4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1BC4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3"/>
          </w:tcPr>
          <w:p w:rsidR="00127409" w:rsidRPr="00B36214" w:rsidRDefault="004F5984" w:rsidP="004F5984">
            <w:pPr>
              <w:jc w:val="both"/>
              <w:rPr>
                <w:rFonts w:asciiTheme="majorHAnsi" w:hAnsiTheme="majorHAnsi"/>
              </w:rPr>
            </w:pPr>
            <w:r w:rsidRPr="004F5984">
              <w:rPr>
                <w:rFonts w:asciiTheme="majorHAnsi" w:hAnsiTheme="majorHAnsi"/>
              </w:rPr>
              <w:t xml:space="preserve">A superfície deverá estar firme, seca, limpa, isenta de pó, </w:t>
            </w:r>
            <w:r>
              <w:rPr>
                <w:rFonts w:asciiTheme="majorHAnsi" w:hAnsiTheme="majorHAnsi"/>
              </w:rPr>
              <w:t>gor</w:t>
            </w:r>
            <w:r w:rsidRPr="004F5984">
              <w:rPr>
                <w:rFonts w:asciiTheme="majorHAnsi" w:hAnsiTheme="majorHAnsi"/>
              </w:rPr>
              <w:t>dura, graxa, mofo ou qualquer outro material que possa comprometer a aderência do produto. O reboco novo deverá estar completamente seco com, no mínimo, 30 dias de cura. Sobre reboco fraco, pintura antiga calcinada, pintura descascando ou paredes caiadas, após a adequada preparação e limpeza, aplicar em toda superfície uma demão de Fundo Preparador de Paredes</w:t>
            </w:r>
            <w:r w:rsidR="00127409" w:rsidRPr="00B36214">
              <w:rPr>
                <w:rFonts w:asciiTheme="majorHAnsi" w:hAnsiTheme="majorHAnsi"/>
              </w:rPr>
              <w:t>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3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996F5E" w:rsidRPr="00B36214" w:rsidTr="0040298E">
        <w:trPr>
          <w:trHeight w:val="1826"/>
        </w:trPr>
        <w:tc>
          <w:tcPr>
            <w:tcW w:w="4322" w:type="dxa"/>
          </w:tcPr>
          <w:p w:rsidR="00996F5E" w:rsidRPr="00B36214" w:rsidRDefault="00996F5E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996F5E" w:rsidRPr="00B36214" w:rsidRDefault="00996F5E" w:rsidP="00996F5E">
            <w:pPr>
              <w:jc w:val="both"/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 xml:space="preserve">Reboco, concreto, blocos de concreto e massa </w:t>
            </w:r>
            <w:proofErr w:type="gramStart"/>
            <w:r w:rsidRPr="00996F5E">
              <w:rPr>
                <w:rFonts w:asciiTheme="majorHAnsi" w:hAnsiTheme="majorHAnsi"/>
              </w:rPr>
              <w:t>fina</w:t>
            </w:r>
            <w:proofErr w:type="gramEnd"/>
          </w:p>
        </w:tc>
        <w:tc>
          <w:tcPr>
            <w:tcW w:w="2072" w:type="dxa"/>
            <w:gridSpan w:val="2"/>
          </w:tcPr>
          <w:p w:rsidR="00996F5E" w:rsidRPr="00B36214" w:rsidRDefault="00996F5E" w:rsidP="00ED77C3">
            <w:pPr>
              <w:jc w:val="both"/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>10% com água potável</w:t>
            </w:r>
          </w:p>
        </w:tc>
      </w:tr>
      <w:tr w:rsidR="00996F5E" w:rsidRPr="00B36214" w:rsidTr="00127409">
        <w:tc>
          <w:tcPr>
            <w:tcW w:w="4322" w:type="dxa"/>
            <w:vMerge w:val="restart"/>
          </w:tcPr>
          <w:p w:rsidR="00996F5E" w:rsidRPr="00B36214" w:rsidRDefault="00996F5E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  <w:vMerge w:val="restart"/>
          </w:tcPr>
          <w:p w:rsidR="00996F5E" w:rsidRPr="00B36214" w:rsidRDefault="00996F5E" w:rsidP="00996F5E">
            <w:pPr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 xml:space="preserve">Reboco, concreto, blocos de concreto e massa </w:t>
            </w:r>
            <w:proofErr w:type="gramStart"/>
            <w:r w:rsidRPr="00996F5E">
              <w:rPr>
                <w:rFonts w:asciiTheme="majorHAnsi" w:hAnsiTheme="majorHAnsi"/>
              </w:rPr>
              <w:t>fina</w:t>
            </w:r>
            <w:proofErr w:type="gramEnd"/>
          </w:p>
        </w:tc>
        <w:tc>
          <w:tcPr>
            <w:tcW w:w="2072" w:type="dxa"/>
            <w:gridSpan w:val="2"/>
          </w:tcPr>
          <w:p w:rsidR="00996F5E" w:rsidRPr="00B36214" w:rsidRDefault="00B1294E" w:rsidP="00996F5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16 a 20</w:t>
            </w:r>
            <w:r w:rsidR="00996F5E">
              <w:rPr>
                <w:rFonts w:asciiTheme="majorHAnsi" w:hAnsiTheme="majorHAnsi"/>
              </w:rPr>
              <w:t xml:space="preserve"> m²/demão</w:t>
            </w:r>
            <w:proofErr w:type="gramEnd"/>
            <w:r w:rsidR="00996F5E" w:rsidRPr="00996F5E">
              <w:rPr>
                <w:rFonts w:asciiTheme="majorHAnsi" w:hAnsiTheme="majorHAnsi"/>
              </w:rPr>
              <w:t>/</w:t>
            </w:r>
            <w:r w:rsidR="00996F5E">
              <w:rPr>
                <w:rFonts w:asciiTheme="majorHAnsi" w:hAnsiTheme="majorHAnsi"/>
              </w:rPr>
              <w:t xml:space="preserve"> </w:t>
            </w:r>
            <w:r w:rsidR="00996F5E" w:rsidRPr="00996F5E">
              <w:rPr>
                <w:rFonts w:asciiTheme="majorHAnsi" w:hAnsiTheme="majorHAnsi"/>
              </w:rPr>
              <w:t>galão (3,6 L)</w:t>
            </w:r>
          </w:p>
        </w:tc>
      </w:tr>
      <w:tr w:rsidR="00996F5E" w:rsidRPr="00B36214" w:rsidTr="00F7401D">
        <w:trPr>
          <w:trHeight w:val="1042"/>
        </w:trPr>
        <w:tc>
          <w:tcPr>
            <w:tcW w:w="4322" w:type="dxa"/>
            <w:vMerge/>
          </w:tcPr>
          <w:p w:rsidR="00996F5E" w:rsidRPr="00B36214" w:rsidRDefault="00996F5E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  <w:vMerge/>
          </w:tcPr>
          <w:p w:rsidR="00996F5E" w:rsidRPr="00B36214" w:rsidRDefault="00996F5E" w:rsidP="00127409">
            <w:pPr>
              <w:rPr>
                <w:rFonts w:asciiTheme="majorHAnsi" w:hAnsiTheme="majorHAnsi"/>
              </w:rPr>
            </w:pPr>
          </w:p>
        </w:tc>
        <w:tc>
          <w:tcPr>
            <w:tcW w:w="2072" w:type="dxa"/>
            <w:gridSpan w:val="2"/>
          </w:tcPr>
          <w:p w:rsidR="00996F5E" w:rsidRPr="00B36214" w:rsidRDefault="00B1294E" w:rsidP="00996F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a 100</w:t>
            </w:r>
            <w:r w:rsidR="00996F5E">
              <w:rPr>
                <w:rFonts w:asciiTheme="majorHAnsi" w:hAnsiTheme="majorHAnsi"/>
              </w:rPr>
              <w:t>m²</w:t>
            </w:r>
            <w:r w:rsidR="00996F5E" w:rsidRPr="00996F5E">
              <w:rPr>
                <w:rFonts w:asciiTheme="majorHAnsi" w:hAnsiTheme="majorHAnsi"/>
              </w:rPr>
              <w:t>/demão/ lata (</w:t>
            </w:r>
            <w:proofErr w:type="gramStart"/>
            <w:r w:rsidR="00996F5E" w:rsidRPr="00996F5E">
              <w:rPr>
                <w:rFonts w:asciiTheme="majorHAnsi" w:hAnsiTheme="majorHAnsi"/>
              </w:rPr>
              <w:t>18 L</w:t>
            </w:r>
            <w:proofErr w:type="gramEnd"/>
            <w:r w:rsidR="00996F5E" w:rsidRPr="00996F5E">
              <w:rPr>
                <w:rFonts w:asciiTheme="majorHAnsi" w:hAnsiTheme="majorHAnsi"/>
              </w:rPr>
              <w:t>)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3"/>
          </w:tcPr>
          <w:p w:rsidR="00B346D5" w:rsidRPr="00B36214" w:rsidRDefault="00996F5E" w:rsidP="00127409">
            <w:pPr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>Uma demão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3"/>
          </w:tcPr>
          <w:p w:rsidR="00B346D5" w:rsidRPr="00B36214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 xml:space="preserve">Rolo de lã, pincel ou </w:t>
            </w:r>
            <w:proofErr w:type="gramStart"/>
            <w:r w:rsidRPr="000D7071">
              <w:rPr>
                <w:rFonts w:asciiTheme="majorHAnsi" w:hAnsiTheme="majorHAnsi"/>
              </w:rPr>
              <w:t>trincha</w:t>
            </w:r>
            <w:proofErr w:type="gramEnd"/>
          </w:p>
        </w:tc>
      </w:tr>
      <w:tr w:rsidR="000D7071" w:rsidRPr="00B36214" w:rsidTr="000D7071">
        <w:trPr>
          <w:trHeight w:val="255"/>
        </w:trPr>
        <w:tc>
          <w:tcPr>
            <w:tcW w:w="4322" w:type="dxa"/>
            <w:vMerge w:val="restart"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3"/>
          </w:tcPr>
          <w:p w:rsidR="000D7071" w:rsidRPr="00B36214" w:rsidRDefault="000D7071" w:rsidP="0012740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2</w:t>
            </w:r>
            <w:r w:rsidR="00996F5E">
              <w:rPr>
                <w:rFonts w:asciiTheme="majorHAnsi" w:hAnsiTheme="majorHAnsi"/>
              </w:rPr>
              <w:t xml:space="preserve"> hora</w:t>
            </w:r>
            <w:proofErr w:type="gramEnd"/>
            <w:r w:rsidR="00996F5E">
              <w:rPr>
                <w:rFonts w:asciiTheme="majorHAnsi" w:hAnsiTheme="majorHAnsi"/>
              </w:rPr>
              <w:t xml:space="preserve"> ao toque/ 6</w:t>
            </w:r>
            <w:r w:rsidRPr="00B36214">
              <w:rPr>
                <w:rFonts w:asciiTheme="majorHAnsi" w:hAnsiTheme="majorHAnsi"/>
              </w:rPr>
              <w:t xml:space="preserve"> horas final</w:t>
            </w:r>
          </w:p>
        </w:tc>
      </w:tr>
      <w:tr w:rsidR="000D7071" w:rsidRPr="00B36214" w:rsidTr="000D7071">
        <w:trPr>
          <w:trHeight w:val="285"/>
        </w:trPr>
        <w:tc>
          <w:tcPr>
            <w:tcW w:w="4322" w:type="dxa"/>
            <w:vMerge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gridSpan w:val="2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Circulação de pessoas</w:t>
            </w:r>
          </w:p>
        </w:tc>
        <w:tc>
          <w:tcPr>
            <w:tcW w:w="2057" w:type="dxa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  <w:r w:rsidRPr="000D7071">
              <w:rPr>
                <w:rFonts w:asciiTheme="majorHAnsi" w:hAnsiTheme="majorHAnsi"/>
              </w:rPr>
              <w:t>Aguardar 48 horas</w:t>
            </w:r>
          </w:p>
        </w:tc>
      </w:tr>
      <w:tr w:rsidR="000D7071" w:rsidRPr="00B36214" w:rsidTr="000D7071">
        <w:trPr>
          <w:trHeight w:val="216"/>
        </w:trPr>
        <w:tc>
          <w:tcPr>
            <w:tcW w:w="4322" w:type="dxa"/>
            <w:vMerge/>
          </w:tcPr>
          <w:p w:rsidR="000D7071" w:rsidRPr="00B36214" w:rsidRDefault="000D7071" w:rsidP="001C0B1B">
            <w:pPr>
              <w:rPr>
                <w:rFonts w:asciiTheme="majorHAnsi" w:hAnsiTheme="majorHAnsi"/>
              </w:rPr>
            </w:pPr>
          </w:p>
        </w:tc>
        <w:tc>
          <w:tcPr>
            <w:tcW w:w="2265" w:type="dxa"/>
            <w:gridSpan w:val="2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</w:p>
        </w:tc>
        <w:tc>
          <w:tcPr>
            <w:tcW w:w="2057" w:type="dxa"/>
          </w:tcPr>
          <w:p w:rsidR="000D7071" w:rsidRDefault="000D7071" w:rsidP="00127409">
            <w:pPr>
              <w:rPr>
                <w:rFonts w:asciiTheme="majorHAnsi" w:hAnsiTheme="majorHAnsi"/>
              </w:rPr>
            </w:pP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3"/>
          </w:tcPr>
          <w:p w:rsidR="00B346D5" w:rsidRPr="00B36214" w:rsidRDefault="00996F5E" w:rsidP="00127409">
            <w:pPr>
              <w:rPr>
                <w:rFonts w:asciiTheme="majorHAnsi" w:hAnsiTheme="majorHAnsi"/>
              </w:rPr>
            </w:pPr>
            <w:r w:rsidRPr="00996F5E">
              <w:rPr>
                <w:rFonts w:asciiTheme="majorHAnsi" w:hAnsiTheme="majorHAnsi"/>
              </w:rPr>
              <w:t xml:space="preserve">Não aplicável, pois </w:t>
            </w:r>
            <w:proofErr w:type="gramStart"/>
            <w:r w:rsidRPr="00996F5E">
              <w:rPr>
                <w:rFonts w:asciiTheme="majorHAnsi" w:hAnsiTheme="majorHAnsi"/>
              </w:rPr>
              <w:t>trata-se</w:t>
            </w:r>
            <w:proofErr w:type="gramEnd"/>
            <w:r w:rsidRPr="00996F5E">
              <w:rPr>
                <w:rFonts w:asciiTheme="majorHAnsi" w:hAnsiTheme="majorHAnsi"/>
              </w:rPr>
              <w:t xml:space="preserve"> de um produto que receberá acabamento.</w:t>
            </w:r>
          </w:p>
        </w:tc>
      </w:tr>
      <w:tr w:rsidR="00B346D5" w:rsidRPr="00B36214" w:rsidTr="00BF1BC4">
        <w:tc>
          <w:tcPr>
            <w:tcW w:w="8644" w:type="dxa"/>
            <w:gridSpan w:val="4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1BC4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lastRenderedPageBreak/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soltas, aplicar uma demão de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É característica de alguns produtos </w:t>
            </w:r>
            <w:proofErr w:type="gramStart"/>
            <w:r w:rsidRPr="00B36214">
              <w:rPr>
                <w:rFonts w:asciiTheme="majorHAnsi" w:hAnsiTheme="majorHAnsi"/>
              </w:rPr>
              <w:t>apresentar</w:t>
            </w:r>
            <w:proofErr w:type="gramEnd"/>
            <w:r w:rsidRPr="00B36214">
              <w:rPr>
                <w:rFonts w:asciiTheme="majorHAnsi" w:hAnsiTheme="majorHAnsi"/>
              </w:rPr>
              <w:t xml:space="preserve"> ligeiro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Pr="00B36214">
              <w:rPr>
                <w:rFonts w:asciiTheme="majorHAnsi" w:hAnsiTheme="majorHAnsi"/>
              </w:rPr>
              <w:t xml:space="preserve"> (cores escuras) quando expostos ao contato com água (sereno ou chuvas leves), essas ocorrências geralmente aparecem no período de cura do filme da tinta. Para a solução do problema, recomendamos lavar toda a superfície com água tão logo tenha ocorrido o </w:t>
            </w:r>
            <w:proofErr w:type="spellStart"/>
            <w:r w:rsidRPr="00B36214">
              <w:rPr>
                <w:rFonts w:asciiTheme="majorHAnsi" w:hAnsiTheme="majorHAnsi"/>
              </w:rPr>
              <w:t>manchamento</w:t>
            </w:r>
            <w:proofErr w:type="spellEnd"/>
            <w:r w:rsidR="00ED77C3">
              <w:rPr>
                <w:rFonts w:asciiTheme="majorHAnsi" w:hAnsiTheme="majorHAnsi"/>
              </w:rPr>
              <w:t>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Manter a embalagem fechada, fora do alcance de crianças e animais; Não reutilizar a embalagem; Armazenar em local coberto, fresco, ventilado e longe de fontes de calor; Manter o ambiente ventilado durante a preparação, aplicação e secagem;</w:t>
            </w:r>
            <w:r w:rsidR="00ED77C3">
              <w:rPr>
                <w:rFonts w:asciiTheme="majorHAnsi" w:hAnsiTheme="majorHAnsi"/>
              </w:rPr>
              <w:t xml:space="preserve"> </w:t>
            </w:r>
            <w:r w:rsidRPr="00B36214">
              <w:rPr>
                <w:rFonts w:asciiTheme="majorHAnsi" w:hAnsiTheme="majorHAnsi"/>
              </w:rPr>
              <w:t xml:space="preserve">Recomendamos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</w:t>
            </w:r>
            <w:r w:rsidRPr="00B36214">
              <w:rPr>
                <w:rFonts w:asciiTheme="majorHAnsi" w:hAnsiTheme="majorHAnsi"/>
              </w:rPr>
              <w:lastRenderedPageBreak/>
              <w:t>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4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E5" w:rsidRDefault="008B56E5" w:rsidP="00D27F6F">
      <w:pPr>
        <w:spacing w:after="0" w:line="240" w:lineRule="auto"/>
      </w:pPr>
      <w:r>
        <w:separator/>
      </w:r>
    </w:p>
  </w:endnote>
  <w:endnote w:type="continuationSeparator" w:id="0">
    <w:p w:rsidR="008B56E5" w:rsidRDefault="008B56E5" w:rsidP="00D2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E5" w:rsidRDefault="008B56E5" w:rsidP="00D27F6F">
      <w:pPr>
        <w:spacing w:after="0" w:line="240" w:lineRule="auto"/>
      </w:pPr>
      <w:r>
        <w:separator/>
      </w:r>
    </w:p>
  </w:footnote>
  <w:footnote w:type="continuationSeparator" w:id="0">
    <w:p w:rsidR="008B56E5" w:rsidRDefault="008B56E5" w:rsidP="00D2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6F" w:rsidRDefault="00D27F6F" w:rsidP="00D27F6F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365D0519" wp14:editId="29996341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7F6F" w:rsidRPr="0030118B" w:rsidRDefault="00D27F6F" w:rsidP="00D27F6F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D27F6F" w:rsidRPr="0030118B" w:rsidRDefault="00D27F6F" w:rsidP="00D27F6F">
    <w:pPr>
      <w:pStyle w:val="Cabealho"/>
      <w:jc w:val="center"/>
      <w:rPr>
        <w:rFonts w:ascii="Arial" w:hAnsi="Arial" w:cs="Arial"/>
      </w:rPr>
    </w:pPr>
  </w:p>
  <w:p w:rsidR="00D27F6F" w:rsidRPr="0030118B" w:rsidRDefault="00D27F6F" w:rsidP="00D27F6F">
    <w:pPr>
      <w:pStyle w:val="Cabealho"/>
      <w:jc w:val="center"/>
      <w:rPr>
        <w:rFonts w:ascii="Arial" w:hAnsi="Arial" w:cs="Arial"/>
      </w:rPr>
    </w:pPr>
    <w:r w:rsidRPr="0030118B">
      <w:rPr>
        <w:rFonts w:ascii="Arial" w:hAnsi="Arial" w:cs="Arial"/>
      </w:rPr>
      <w:t>CNPJ:</w:t>
    </w:r>
    <w:r>
      <w:rPr>
        <w:rFonts w:ascii="Arial" w:hAnsi="Arial" w:cs="Arial"/>
      </w:rPr>
      <w:t xml:space="preserve"> </w:t>
    </w:r>
    <w:r w:rsidRPr="0030118B">
      <w:rPr>
        <w:rFonts w:ascii="Arial" w:hAnsi="Arial" w:cs="Arial"/>
      </w:rPr>
      <w:t>10.651.567/0001-81</w:t>
    </w:r>
  </w:p>
  <w:p w:rsidR="00D27F6F" w:rsidRPr="0030118B" w:rsidRDefault="00D27F6F" w:rsidP="00D27F6F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D27F6F" w:rsidRPr="0030118B" w:rsidRDefault="00D27F6F" w:rsidP="00D27F6F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D27F6F" w:rsidRDefault="00D27F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D09BE"/>
    <w:rsid w:val="000D7071"/>
    <w:rsid w:val="00127409"/>
    <w:rsid w:val="001C0B1B"/>
    <w:rsid w:val="002665FB"/>
    <w:rsid w:val="003046B2"/>
    <w:rsid w:val="003378CB"/>
    <w:rsid w:val="00423281"/>
    <w:rsid w:val="004C1F3A"/>
    <w:rsid w:val="004F00C7"/>
    <w:rsid w:val="004F5984"/>
    <w:rsid w:val="00564FDB"/>
    <w:rsid w:val="00571548"/>
    <w:rsid w:val="00661790"/>
    <w:rsid w:val="00715A34"/>
    <w:rsid w:val="007852C1"/>
    <w:rsid w:val="007F3379"/>
    <w:rsid w:val="00800C41"/>
    <w:rsid w:val="0081289C"/>
    <w:rsid w:val="0084689D"/>
    <w:rsid w:val="008549CD"/>
    <w:rsid w:val="008B56E5"/>
    <w:rsid w:val="008D4911"/>
    <w:rsid w:val="0097572C"/>
    <w:rsid w:val="00996F5E"/>
    <w:rsid w:val="00B1294E"/>
    <w:rsid w:val="00B346D5"/>
    <w:rsid w:val="00B36214"/>
    <w:rsid w:val="00B4211C"/>
    <w:rsid w:val="00BF1BC4"/>
    <w:rsid w:val="00C64906"/>
    <w:rsid w:val="00CA32C0"/>
    <w:rsid w:val="00D27F6F"/>
    <w:rsid w:val="00D67634"/>
    <w:rsid w:val="00E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F6F"/>
  </w:style>
  <w:style w:type="paragraph" w:styleId="Rodap">
    <w:name w:val="footer"/>
    <w:basedOn w:val="Normal"/>
    <w:link w:val="RodapChar"/>
    <w:uiPriority w:val="99"/>
    <w:unhideWhenUsed/>
    <w:rsid w:val="00D2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F6F"/>
  </w:style>
  <w:style w:type="paragraph" w:styleId="Textodebalo">
    <w:name w:val="Balloon Text"/>
    <w:basedOn w:val="Normal"/>
    <w:link w:val="TextodebaloChar"/>
    <w:uiPriority w:val="99"/>
    <w:semiHidden/>
    <w:unhideWhenUsed/>
    <w:rsid w:val="00D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2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F6F"/>
  </w:style>
  <w:style w:type="paragraph" w:styleId="Rodap">
    <w:name w:val="footer"/>
    <w:basedOn w:val="Normal"/>
    <w:link w:val="RodapChar"/>
    <w:uiPriority w:val="99"/>
    <w:unhideWhenUsed/>
    <w:rsid w:val="00D2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F6F"/>
  </w:style>
  <w:style w:type="paragraph" w:styleId="Textodebalo">
    <w:name w:val="Balloon Text"/>
    <w:basedOn w:val="Normal"/>
    <w:link w:val="TextodebaloChar"/>
    <w:uiPriority w:val="99"/>
    <w:semiHidden/>
    <w:unhideWhenUsed/>
    <w:rsid w:val="00D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2022-04-11T17:25:00Z</dcterms:created>
  <dcterms:modified xsi:type="dcterms:W3CDTF">2022-04-11T17:25:00Z</dcterms:modified>
</cp:coreProperties>
</file>